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1E9" w:rsidRDefault="003611E9" w:rsidP="003611E9">
      <w:pPr>
        <w:spacing w:before="100" w:beforeAutospacing="1" w:after="198"/>
        <w:rPr>
          <w:rFonts w:ascii="Arial" w:eastAsia="Times New Roman" w:hAnsi="Arial" w:cs="Arial"/>
          <w:b/>
          <w:bCs/>
          <w:sz w:val="24"/>
          <w:szCs w:val="24"/>
          <w:lang w:eastAsia="es-ES"/>
        </w:rPr>
      </w:pPr>
    </w:p>
    <w:p w:rsidR="003611E9" w:rsidRDefault="003611E9" w:rsidP="003611E9">
      <w:pPr>
        <w:spacing w:before="100" w:beforeAutospacing="1" w:after="198"/>
        <w:rPr>
          <w:rFonts w:ascii="Arial" w:eastAsia="Times New Roman" w:hAnsi="Arial" w:cs="Arial"/>
          <w:b/>
          <w:bCs/>
          <w:sz w:val="24"/>
          <w:szCs w:val="24"/>
          <w:lang w:eastAsia="es-ES"/>
        </w:rPr>
      </w:pPr>
      <w:r w:rsidRPr="0029632F">
        <w:rPr>
          <w:rFonts w:ascii="Arial" w:eastAsia="Times New Roman" w:hAnsi="Arial" w:cs="Arial"/>
          <w:b/>
          <w:bCs/>
          <w:sz w:val="24"/>
          <w:szCs w:val="24"/>
          <w:lang w:eastAsia="es-ES"/>
        </w:rPr>
        <w:t>Información solicitada en la evaluación de la Transparencia a GMR Canarias, sobre la composición y convocatorias de las mesas de contratación, y en su caso, forma de designación de la mesa.</w:t>
      </w:r>
    </w:p>
    <w:p w:rsidR="00236AF4" w:rsidRPr="0029632F" w:rsidRDefault="00236AF4" w:rsidP="003611E9">
      <w:pPr>
        <w:spacing w:before="100" w:beforeAutospacing="1" w:after="198"/>
        <w:rPr>
          <w:rFonts w:ascii="Times New Roman" w:eastAsia="Times New Roman" w:hAnsi="Times New Roman"/>
          <w:sz w:val="24"/>
          <w:szCs w:val="24"/>
          <w:lang w:eastAsia="es-ES"/>
        </w:rPr>
      </w:pPr>
    </w:p>
    <w:p w:rsidR="003611E9" w:rsidRPr="00236AF4" w:rsidRDefault="003611E9" w:rsidP="00C20C19">
      <w:pPr>
        <w:spacing w:before="100" w:beforeAutospacing="1" w:after="198"/>
        <w:jc w:val="both"/>
        <w:rPr>
          <w:rFonts w:ascii="Times New Roman" w:eastAsia="Times New Roman" w:hAnsi="Times New Roman"/>
          <w:lang w:eastAsia="es-ES"/>
        </w:rPr>
      </w:pPr>
      <w:r w:rsidRPr="00236AF4">
        <w:rPr>
          <w:rFonts w:ascii="Arial" w:eastAsia="Times New Roman" w:hAnsi="Arial" w:cs="Arial"/>
          <w:lang w:eastAsia="es-ES"/>
        </w:rPr>
        <w:t>GMR Canarias no ha constituido mesa de contratación en las licitaciones anuales.</w:t>
      </w:r>
    </w:p>
    <w:p w:rsidR="003611E9" w:rsidRPr="00236AF4" w:rsidRDefault="003611E9" w:rsidP="00C20C19">
      <w:pPr>
        <w:spacing w:before="100" w:beforeAutospacing="1" w:after="238" w:line="360" w:lineRule="auto"/>
        <w:jc w:val="both"/>
        <w:rPr>
          <w:rFonts w:ascii="Times New Roman" w:eastAsia="Times New Roman" w:hAnsi="Times New Roman"/>
          <w:lang w:eastAsia="es-ES"/>
        </w:rPr>
      </w:pPr>
      <w:r w:rsidRPr="00236AF4">
        <w:rPr>
          <w:rFonts w:ascii="Arial" w:eastAsia="Times New Roman" w:hAnsi="Arial" w:cs="Arial"/>
          <w:lang w:eastAsia="es-ES"/>
        </w:rPr>
        <w:t>El artículo 326 de la Ley 9/2017, de 8 de noviembre, de Contratos del Sector Público señala que en los procedimientos abiertos, abierto simplificado, restringidos, de diálogo competitivo, de licitación con negociación y de asociación para la innovación, los órganos de contratación de las Administraciones Públicas estarán asistidos por una mesa de contratación. Añade que en los procedimientos negociados sin publicidad la constitución de la mesa será potestativa para el órgano de contratación, salvo en los casos de imperiosa urgencia. Por último, en los procedimientos más simplificados del artículo 159.6 también será potestativa la constitución de la mesa.</w:t>
      </w:r>
    </w:p>
    <w:p w:rsidR="00236AF4" w:rsidRDefault="003611E9" w:rsidP="00C20C19">
      <w:pPr>
        <w:spacing w:before="100" w:beforeAutospacing="1" w:after="238" w:line="360" w:lineRule="auto"/>
        <w:jc w:val="both"/>
        <w:rPr>
          <w:rFonts w:ascii="Arial" w:eastAsia="Times New Roman" w:hAnsi="Arial" w:cs="Arial"/>
          <w:lang w:eastAsia="es-ES"/>
        </w:rPr>
      </w:pPr>
      <w:r w:rsidRPr="00236AF4">
        <w:rPr>
          <w:rFonts w:ascii="Arial" w:eastAsia="Times New Roman" w:hAnsi="Arial" w:cs="Arial"/>
          <w:lang w:eastAsia="es-ES"/>
        </w:rPr>
        <w:t>Nada dice la Ley sobre la mesa de contratación en los contratos de las entidades del sector público que no sean Administraciones Públicas. Por lo tanto</w:t>
      </w:r>
      <w:r w:rsidRPr="00236AF4">
        <w:rPr>
          <w:rFonts w:ascii="Arial" w:eastAsia="Times New Roman" w:hAnsi="Arial" w:cs="Arial"/>
          <w:b/>
          <w:bCs/>
          <w:lang w:eastAsia="es-ES"/>
        </w:rPr>
        <w:t>, debe entenderse que la presencia de la mesa ha de ser facultativa en estos casos</w:t>
      </w:r>
      <w:r w:rsidRPr="00236AF4">
        <w:rPr>
          <w:rFonts w:ascii="Arial" w:eastAsia="Times New Roman" w:hAnsi="Arial" w:cs="Arial"/>
          <w:lang w:eastAsia="es-ES"/>
        </w:rPr>
        <w:t xml:space="preserve"> (ver a este respecto la recomendación de la Junta Consultiva de Contratación Pública del Estado a los órganos de contratación en relación con diversos aspectos relacionados con la entrada en vigor de la Ley de Contratos del Sector Público. </w:t>
      </w:r>
    </w:p>
    <w:p w:rsidR="003611E9" w:rsidRPr="00236AF4" w:rsidRDefault="003611E9" w:rsidP="00C20C19">
      <w:pPr>
        <w:spacing w:before="100" w:beforeAutospacing="1" w:after="238" w:line="360" w:lineRule="auto"/>
        <w:jc w:val="both"/>
        <w:rPr>
          <w:rFonts w:ascii="Times New Roman" w:eastAsia="Times New Roman" w:hAnsi="Times New Roman"/>
          <w:lang w:eastAsia="es-ES"/>
        </w:rPr>
      </w:pPr>
      <w:r w:rsidRPr="00236AF4">
        <w:rPr>
          <w:rFonts w:ascii="Arial" w:eastAsia="Times New Roman" w:hAnsi="Arial" w:cs="Arial"/>
          <w:lang w:eastAsia="es-ES"/>
        </w:rPr>
        <w:t xml:space="preserve">Disponible en: </w:t>
      </w:r>
    </w:p>
    <w:p w:rsidR="003611E9" w:rsidRPr="00236AF4" w:rsidRDefault="00E565E3" w:rsidP="003611E9">
      <w:pPr>
        <w:spacing w:before="100" w:beforeAutospacing="1" w:after="238" w:line="360" w:lineRule="auto"/>
        <w:rPr>
          <w:rFonts w:ascii="Times New Roman" w:eastAsia="Times New Roman" w:hAnsi="Times New Roman"/>
          <w:lang w:eastAsia="es-ES"/>
        </w:rPr>
      </w:pPr>
      <w:hyperlink r:id="rId7" w:history="1">
        <w:r w:rsidR="003611E9" w:rsidRPr="00236AF4">
          <w:rPr>
            <w:rFonts w:ascii="Arial" w:eastAsia="Times New Roman" w:hAnsi="Arial" w:cs="Arial"/>
            <w:color w:val="0000FF"/>
            <w:u w:val="single"/>
            <w:lang w:eastAsia="es-ES"/>
          </w:rPr>
          <w:t>http://www.hacienda.gob.es/Documentacion/Publico/D.G.%20PATRIMONIO/Junta%20Consultiva/RECOMENDACI%C3%93N%20marzo%202018.pdf</w:t>
        </w:r>
      </w:hyperlink>
      <w:r w:rsidR="003611E9" w:rsidRPr="00236AF4">
        <w:rPr>
          <w:rFonts w:ascii="Arial" w:eastAsia="Times New Roman" w:hAnsi="Arial" w:cs="Arial"/>
          <w:lang w:eastAsia="es-ES"/>
        </w:rPr>
        <w:t xml:space="preserve">. </w:t>
      </w:r>
    </w:p>
    <w:p w:rsidR="003611E9" w:rsidRPr="00236AF4" w:rsidRDefault="003611E9" w:rsidP="00872749">
      <w:pPr>
        <w:spacing w:before="100" w:beforeAutospacing="1" w:after="198"/>
        <w:jc w:val="center"/>
        <w:rPr>
          <w:rFonts w:ascii="Times New Roman" w:eastAsia="Times New Roman" w:hAnsi="Times New Roman"/>
          <w:lang w:eastAsia="es-ES"/>
        </w:rPr>
      </w:pPr>
      <w:r w:rsidRPr="00236AF4">
        <w:rPr>
          <w:rFonts w:ascii="Times New Roman" w:eastAsia="Times New Roman" w:hAnsi="Times New Roman"/>
          <w:lang w:eastAsia="es-ES"/>
        </w:rPr>
        <w:t>En Santa Cruz de Tenerife a 11 de octubre de 2023</w:t>
      </w:r>
    </w:p>
    <w:p w:rsidR="003611E9" w:rsidRDefault="003611E9" w:rsidP="003611E9">
      <w:pPr>
        <w:spacing w:before="100" w:beforeAutospacing="1" w:after="240"/>
        <w:jc w:val="center"/>
        <w:rPr>
          <w:rFonts w:ascii="Times New Roman" w:eastAsia="Times New Roman" w:hAnsi="Times New Roman"/>
          <w:lang w:eastAsia="es-ES"/>
        </w:rPr>
      </w:pPr>
    </w:p>
    <w:p w:rsidR="00F83111" w:rsidRPr="00236AF4" w:rsidRDefault="00F83111" w:rsidP="003611E9">
      <w:pPr>
        <w:spacing w:before="100" w:beforeAutospacing="1" w:after="240"/>
        <w:jc w:val="center"/>
        <w:rPr>
          <w:rFonts w:ascii="Times New Roman" w:eastAsia="Times New Roman" w:hAnsi="Times New Roman"/>
          <w:lang w:eastAsia="es-ES"/>
        </w:rPr>
      </w:pPr>
    </w:p>
    <w:p w:rsidR="003611E9" w:rsidRPr="00236AF4" w:rsidRDefault="003611E9" w:rsidP="003611E9">
      <w:pPr>
        <w:spacing w:before="100" w:beforeAutospacing="1" w:after="198"/>
        <w:jc w:val="center"/>
        <w:rPr>
          <w:rFonts w:ascii="Times New Roman" w:eastAsia="Times New Roman" w:hAnsi="Times New Roman"/>
          <w:lang w:eastAsia="es-ES"/>
        </w:rPr>
      </w:pPr>
      <w:r w:rsidRPr="00236AF4">
        <w:rPr>
          <w:rFonts w:ascii="Times New Roman" w:eastAsia="Times New Roman" w:hAnsi="Times New Roman"/>
          <w:lang w:eastAsia="es-ES"/>
        </w:rPr>
        <w:t>Juan Antonio Alonso Barreto</w:t>
      </w:r>
    </w:p>
    <w:p w:rsidR="003611E9" w:rsidRPr="00236AF4" w:rsidRDefault="003611E9" w:rsidP="003611E9">
      <w:pPr>
        <w:spacing w:before="100" w:beforeAutospacing="1" w:after="198"/>
        <w:jc w:val="center"/>
        <w:rPr>
          <w:rFonts w:ascii="Times New Roman" w:eastAsia="Times New Roman" w:hAnsi="Times New Roman"/>
          <w:lang w:eastAsia="es-ES"/>
        </w:rPr>
      </w:pPr>
      <w:r w:rsidRPr="00236AF4">
        <w:rPr>
          <w:rFonts w:ascii="Times New Roman" w:eastAsia="Times New Roman" w:hAnsi="Times New Roman"/>
          <w:lang w:eastAsia="es-ES"/>
        </w:rPr>
        <w:t>Consejero Delegado de Gestión del Medio Rural de Canarias S.A.U.</w:t>
      </w:r>
    </w:p>
    <w:p w:rsidR="00205B89" w:rsidRPr="00CD073C" w:rsidRDefault="00205B89" w:rsidP="00CD073C"/>
    <w:sectPr w:rsidR="00205B89" w:rsidRPr="00CD073C" w:rsidSect="002C2838">
      <w:headerReference w:type="default" r:id="rId8"/>
      <w:footerReference w:type="default" r:id="rId9"/>
      <w:pgSz w:w="11906" w:h="16838"/>
      <w:pgMar w:top="1702" w:right="1133" w:bottom="1701" w:left="1134"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C19" w:rsidRDefault="00C20C19" w:rsidP="0043583C">
      <w:pPr>
        <w:spacing w:after="0" w:line="240" w:lineRule="auto"/>
      </w:pPr>
      <w:r>
        <w:separator/>
      </w:r>
    </w:p>
  </w:endnote>
  <w:endnote w:type="continuationSeparator" w:id="0">
    <w:p w:rsidR="00C20C19" w:rsidRDefault="00C20C19" w:rsidP="004358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XNarrow Book">
    <w:altName w:val="Arial"/>
    <w:panose1 w:val="00000000000000000000"/>
    <w:charset w:val="00"/>
    <w:family w:val="modern"/>
    <w:notTrueType/>
    <w:pitch w:val="variable"/>
    <w:sig w:usb0="00000001" w:usb1="4000004A" w:usb2="00000000" w:usb3="00000000" w:csb0="0000009B" w:csb1="00000000"/>
  </w:font>
  <w:font w:name="Zurich BT">
    <w:altName w:val="Trebuchet MS"/>
    <w:panose1 w:val="020B0603020202030204"/>
    <w:charset w:val="00"/>
    <w:family w:val="swiss"/>
    <w:pitch w:val="variable"/>
    <w:sig w:usb0="800000AF" w:usb1="1000204A" w:usb2="00000000" w:usb3="00000000" w:csb0="0000001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4" w:type="dxa"/>
      <w:jc w:val="center"/>
      <w:tblLook w:val="04A0"/>
    </w:tblPr>
    <w:tblGrid>
      <w:gridCol w:w="9634"/>
    </w:tblGrid>
    <w:tr w:rsidR="00C20C19" w:rsidRPr="000B19A9" w:rsidTr="000B19A9">
      <w:trPr>
        <w:trHeight w:val="826"/>
        <w:jc w:val="center"/>
      </w:trPr>
      <w:tc>
        <w:tcPr>
          <w:tcW w:w="9634" w:type="dxa"/>
        </w:tcPr>
        <w:p w:rsidR="00C20C19" w:rsidRPr="000B19A9" w:rsidRDefault="00E565E3" w:rsidP="000B19A9">
          <w:pPr>
            <w:spacing w:after="0" w:line="240" w:lineRule="auto"/>
            <w:jc w:val="center"/>
            <w:rPr>
              <w:rFonts w:ascii="Gotham XNarrow Book" w:eastAsia="Times New Roman" w:hAnsi="Gotham XNarrow Book" w:cstheme="minorHAnsi"/>
              <w:color w:val="808080" w:themeColor="background1" w:themeShade="80"/>
              <w:spacing w:val="1"/>
              <w:kern w:val="16"/>
              <w:sz w:val="12"/>
              <w:szCs w:val="12"/>
              <w:lang w:eastAsia="es-ES"/>
            </w:rPr>
          </w:pPr>
          <w:r w:rsidRPr="00E565E3">
            <w:rPr>
              <w:rFonts w:asciiTheme="minorHAnsi" w:eastAsiaTheme="minorHAnsi" w:hAnsiTheme="minorHAnsi" w:cstheme="minorBidi"/>
              <w:noProof/>
            </w:rPr>
            <w:pict>
              <v:line id="Conector recto 4" o:spid="_x0000_s1026" style="position:absolute;left:0;text-align:left;z-index:251659264;visibility:visible;mso-height-relative:margin" from="-5.85pt,7.9pt" to="476.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" strokecolor="#a5a5a5" strokeweight="1pt"/>
            </w:pict>
          </w:r>
          <w:r w:rsidR="00C20C19" w:rsidRPr="000B19A9">
            <w:rPr>
              <w:rFonts w:ascii="Zurich BT" w:eastAsia="Times New Roman" w:hAnsi="Zurich BT" w:cstheme="minorHAnsi"/>
              <w:color w:val="333333"/>
              <w:spacing w:val="1"/>
              <w:kern w:val="16"/>
              <w:sz w:val="14"/>
              <w:szCs w:val="14"/>
              <w:lang w:eastAsia="es-ES"/>
            </w:rPr>
            <w:br/>
          </w:r>
        </w:p>
        <w:p w:rsidR="00C20C19" w:rsidRPr="003D0497" w:rsidRDefault="00C20C19" w:rsidP="003D0497">
          <w:pPr>
            <w:spacing w:after="0" w:line="240" w:lineRule="auto"/>
            <w:rPr>
              <w:rFonts w:ascii="Trebuchet MS" w:eastAsia="Times New Roman" w:hAnsi="Trebuchet MS" w:cstheme="minorHAnsi"/>
              <w:b/>
              <w:color w:val="808080" w:themeColor="background1" w:themeShade="80"/>
              <w:sz w:val="12"/>
              <w:szCs w:val="12"/>
              <w:lang w:eastAsia="es-ES"/>
            </w:rPr>
          </w:pPr>
          <w:r>
            <w:rPr>
              <w:rFonts w:ascii="Trebuchet MS" w:eastAsia="Times New Roman" w:hAnsi="Trebuchet MS" w:cstheme="minorHAnsi"/>
              <w:b/>
              <w:noProof/>
              <w:color w:val="808080" w:themeColor="background1" w:themeShade="80"/>
              <w:sz w:val="12"/>
              <w:szCs w:val="12"/>
              <w:lang w:eastAsia="es-ES"/>
            </w:rPr>
            <w:drawing>
              <wp:anchor distT="0" distB="0" distL="114300" distR="114300" simplePos="0" relativeHeight="251658239" behindDoc="0" locked="0" layoutInCell="1" allowOverlap="1">
                <wp:simplePos x="0" y="0"/>
                <wp:positionH relativeFrom="column">
                  <wp:posOffset>5073318</wp:posOffset>
                </wp:positionH>
                <wp:positionV relativeFrom="paragraph">
                  <wp:posOffset>63196</wp:posOffset>
                </wp:positionV>
                <wp:extent cx="887730" cy="405517"/>
                <wp:effectExtent l="19050" t="0" r="7620" b="0"/>
                <wp:wrapNone/>
                <wp:docPr id="5" name="4 Imagen"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887730" cy="405517"/>
                        </a:xfrm>
                        <a:prstGeom prst="rect">
                          <a:avLst/>
                        </a:prstGeom>
                      </pic:spPr>
                    </pic:pic>
                  </a:graphicData>
                </a:graphic>
              </wp:anchor>
            </w:drawing>
          </w:r>
          <w:r w:rsidRPr="003D0497">
            <w:rPr>
              <w:rFonts w:ascii="Trebuchet MS" w:eastAsia="Times New Roman" w:hAnsi="Trebuchet MS" w:cstheme="minorHAnsi"/>
              <w:b/>
              <w:color w:val="808080" w:themeColor="background1" w:themeShade="80"/>
              <w:sz w:val="12"/>
              <w:szCs w:val="12"/>
              <w:lang w:eastAsia="es-ES"/>
            </w:rPr>
            <w:t>GESTIÓN DEL MEDIO RURAL DE CANARIAS, S.A.U. - A38075750</w:t>
          </w:r>
        </w:p>
        <w:p w:rsidR="00C20C19" w:rsidRPr="003D0497" w:rsidRDefault="00C20C19" w:rsidP="003D0497">
          <w:pPr>
            <w:spacing w:after="0" w:line="240" w:lineRule="auto"/>
            <w:rPr>
              <w:rFonts w:ascii="Trebuchet MS" w:eastAsiaTheme="minorHAnsi" w:hAnsi="Trebuchet MS" w:cstheme="minorBidi"/>
              <w:color w:val="808080" w:themeColor="background1" w:themeShade="80"/>
              <w:sz w:val="12"/>
              <w:szCs w:val="12"/>
            </w:rPr>
          </w:pPr>
          <w:r w:rsidRPr="003D0497">
            <w:rPr>
              <w:rFonts w:ascii="Trebuchet MS" w:eastAsia="Times New Roman" w:hAnsi="Trebuchet MS" w:cstheme="minorHAnsi"/>
              <w:color w:val="808080" w:themeColor="background1" w:themeShade="80"/>
              <w:sz w:val="12"/>
              <w:szCs w:val="12"/>
              <w:lang w:eastAsia="es-ES"/>
            </w:rPr>
            <w:t>Inscrita en el Registro Mercantil de Santa Cruz de Tenerife, Tomo 430, Libro 238, de la Sección 3ª, Folio 33, Hoja TF-3.027, Inscripción 1ª</w:t>
          </w:r>
        </w:p>
        <w:p w:rsidR="00C20C19" w:rsidRPr="003D0497" w:rsidRDefault="00C20C19" w:rsidP="003D0497">
          <w:pPr>
            <w:spacing w:after="0" w:line="240" w:lineRule="auto"/>
            <w:rPr>
              <w:rFonts w:ascii="Trebuchet MS" w:eastAsiaTheme="minorHAnsi" w:hAnsi="Trebuchet MS" w:cstheme="minorBidi"/>
              <w:sz w:val="12"/>
              <w:szCs w:val="12"/>
            </w:rPr>
          </w:pPr>
        </w:p>
        <w:p w:rsidR="00C20C19" w:rsidRPr="003D0497" w:rsidRDefault="00E565E3" w:rsidP="003D0497">
          <w:pPr>
            <w:spacing w:after="0" w:line="240" w:lineRule="auto"/>
            <w:rPr>
              <w:rFonts w:ascii="Trebuchet MS" w:eastAsia="Times New Roman" w:hAnsi="Trebuchet MS" w:cstheme="minorHAnsi"/>
              <w:color w:val="808080" w:themeColor="background1" w:themeShade="80"/>
              <w:sz w:val="12"/>
              <w:szCs w:val="12"/>
              <w:lang w:eastAsia="es-ES"/>
            </w:rPr>
          </w:pPr>
          <w:hyperlink r:id="rId2" w:history="1">
            <w:r w:rsidR="00C20C19" w:rsidRPr="003D0497">
              <w:rPr>
                <w:rFonts w:ascii="Trebuchet MS" w:eastAsia="Times New Roman" w:hAnsi="Trebuchet MS" w:cstheme="minorHAnsi"/>
                <w:color w:val="808080" w:themeColor="background1" w:themeShade="80"/>
                <w:spacing w:val="1"/>
                <w:kern w:val="16"/>
                <w:sz w:val="12"/>
                <w:szCs w:val="12"/>
                <w:lang w:eastAsia="es-ES"/>
              </w:rPr>
              <w:t>922 236 048</w:t>
            </w:r>
          </w:hyperlink>
          <w:r w:rsidR="00C20C19" w:rsidRPr="003D0497">
            <w:rPr>
              <w:rFonts w:ascii="Trebuchet MS" w:eastAsiaTheme="minorHAnsi" w:hAnsi="Trebuchet MS" w:cstheme="minorBidi"/>
              <w:color w:val="808080" w:themeColor="background1" w:themeShade="80"/>
              <w:sz w:val="12"/>
              <w:szCs w:val="12"/>
            </w:rPr>
            <w:t xml:space="preserve"> </w:t>
          </w:r>
          <w:r w:rsidR="00C20C19" w:rsidRPr="003D0497">
            <w:rPr>
              <w:rFonts w:ascii="Trebuchet MS" w:eastAsiaTheme="minorHAnsi" w:hAnsi="Trebuchet MS" w:cstheme="minorBidi"/>
              <w:color w:val="808080" w:themeColor="background1" w:themeShade="80"/>
              <w:sz w:val="12"/>
              <w:szCs w:val="12"/>
              <w:lang w:eastAsia="es-ES"/>
            </w:rPr>
            <w:t xml:space="preserve">· 928 385 078 </w:t>
          </w:r>
          <w:r w:rsidR="00C20C19" w:rsidRPr="003D0497">
            <w:rPr>
              <w:rFonts w:ascii="Trebuchet MS" w:eastAsia="Times New Roman" w:hAnsi="Trebuchet MS" w:cstheme="minorHAnsi"/>
              <w:color w:val="808080" w:themeColor="background1" w:themeShade="80"/>
              <w:sz w:val="12"/>
              <w:szCs w:val="12"/>
              <w:lang w:eastAsia="es-ES"/>
            </w:rPr>
            <w:t xml:space="preserve">| </w:t>
          </w:r>
          <w:hyperlink r:id="rId3" w:history="1">
            <w:r w:rsidR="00C20C19" w:rsidRPr="003D0497">
              <w:rPr>
                <w:rStyle w:val="Hipervnculo"/>
                <w:rFonts w:ascii="Trebuchet MS" w:eastAsia="Times New Roman" w:hAnsi="Trebuchet MS" w:cstheme="minorHAnsi"/>
                <w:color w:val="808080" w:themeColor="background1" w:themeShade="80"/>
                <w:sz w:val="12"/>
                <w:szCs w:val="12"/>
                <w:u w:val="none"/>
                <w:lang w:eastAsia="es-ES"/>
              </w:rPr>
              <w:t>info@gmrcanarias.com</w:t>
            </w:r>
          </w:hyperlink>
          <w:r w:rsidR="00C20C19" w:rsidRPr="003D0497">
            <w:rPr>
              <w:rFonts w:ascii="Trebuchet MS" w:eastAsiaTheme="minorHAnsi" w:hAnsi="Trebuchet MS" w:cstheme="minorBidi"/>
              <w:color w:val="808080" w:themeColor="background1" w:themeShade="80"/>
              <w:sz w:val="12"/>
              <w:szCs w:val="12"/>
            </w:rPr>
            <w:t xml:space="preserve"> </w:t>
          </w:r>
          <w:r w:rsidR="00C20C19" w:rsidRPr="003D0497">
            <w:rPr>
              <w:rFonts w:ascii="Trebuchet MS" w:eastAsia="Times New Roman" w:hAnsi="Trebuchet MS" w:cstheme="minorHAnsi"/>
              <w:color w:val="808080" w:themeColor="background1" w:themeShade="80"/>
              <w:sz w:val="12"/>
              <w:szCs w:val="12"/>
              <w:lang w:eastAsia="es-ES"/>
            </w:rPr>
            <w:t xml:space="preserve">| </w:t>
          </w:r>
          <w:hyperlink r:id="rId4" w:history="1">
            <w:r w:rsidR="00C20C19" w:rsidRPr="003D0497">
              <w:rPr>
                <w:rStyle w:val="Hipervnculo"/>
                <w:rFonts w:ascii="Trebuchet MS" w:eastAsia="Times New Roman" w:hAnsi="Trebuchet MS" w:cstheme="minorHAnsi"/>
                <w:color w:val="808080" w:themeColor="background1" w:themeShade="80"/>
                <w:sz w:val="12"/>
                <w:szCs w:val="12"/>
                <w:u w:val="none"/>
                <w:lang w:eastAsia="es-ES"/>
              </w:rPr>
              <w:t>www.gmrcanarias.com</w:t>
            </w:r>
          </w:hyperlink>
        </w:p>
        <w:p w:rsidR="00C20C19" w:rsidRPr="003D0497" w:rsidRDefault="00C20C19" w:rsidP="003D0497">
          <w:pPr>
            <w:spacing w:after="0" w:line="240" w:lineRule="auto"/>
            <w:rPr>
              <w:rFonts w:ascii="Trebuchet MS" w:eastAsia="Times New Roman" w:hAnsi="Trebuchet MS" w:cstheme="minorHAnsi"/>
              <w:color w:val="808080" w:themeColor="background1" w:themeShade="80"/>
              <w:spacing w:val="1"/>
              <w:kern w:val="16"/>
              <w:sz w:val="12"/>
              <w:szCs w:val="12"/>
              <w:lang w:eastAsia="es-ES"/>
            </w:rPr>
          </w:pPr>
          <w:r w:rsidRPr="003D0497">
            <w:rPr>
              <w:rFonts w:ascii="Trebuchet MS" w:eastAsia="Times New Roman" w:hAnsi="Trebuchet MS" w:cstheme="minorHAnsi"/>
              <w:color w:val="808080" w:themeColor="background1" w:themeShade="80"/>
              <w:spacing w:val="1"/>
              <w:kern w:val="16"/>
              <w:sz w:val="12"/>
              <w:szCs w:val="12"/>
              <w:lang w:eastAsia="es-ES"/>
            </w:rPr>
            <w:t>C/ Jesús Hernández Guzmán, 2. Planta C. Polígono Industrial El Mayorazgo - 38110 Santa Cruz de Tenerife (S/C de Tenerife)</w:t>
          </w:r>
        </w:p>
        <w:p w:rsidR="00C20C19" w:rsidRPr="003D0497" w:rsidRDefault="00C20C19" w:rsidP="003D0497">
          <w:pPr>
            <w:spacing w:after="0" w:line="240" w:lineRule="auto"/>
            <w:rPr>
              <w:rFonts w:ascii="Trebuchet MS" w:eastAsia="Times New Roman" w:hAnsi="Trebuchet MS" w:cstheme="minorHAnsi"/>
              <w:color w:val="808080" w:themeColor="background1" w:themeShade="80"/>
              <w:sz w:val="12"/>
              <w:szCs w:val="12"/>
              <w:lang w:eastAsia="es-ES"/>
            </w:rPr>
          </w:pPr>
          <w:r w:rsidRPr="003D0497">
            <w:rPr>
              <w:rFonts w:ascii="Trebuchet MS" w:eastAsia="Times New Roman" w:hAnsi="Trebuchet MS" w:cstheme="minorHAnsi"/>
              <w:color w:val="808080" w:themeColor="background1" w:themeShade="80"/>
              <w:sz w:val="12"/>
              <w:szCs w:val="12"/>
              <w:lang w:eastAsia="es-ES"/>
            </w:rPr>
            <w:t>C/ La Restinga, 1. Polígono Industrial Las Majoreras</w:t>
          </w:r>
          <w:r w:rsidRPr="003D0497">
            <w:rPr>
              <w:rFonts w:ascii="Trebuchet MS" w:eastAsia="Times New Roman" w:hAnsi="Trebuchet MS" w:cstheme="minorHAnsi"/>
              <w:color w:val="808080" w:themeColor="background1" w:themeShade="80"/>
              <w:spacing w:val="1"/>
              <w:kern w:val="16"/>
              <w:sz w:val="12"/>
              <w:szCs w:val="12"/>
              <w:lang w:eastAsia="es-ES"/>
            </w:rPr>
            <w:t xml:space="preserve"> - </w:t>
          </w:r>
          <w:r w:rsidRPr="003D0497">
            <w:rPr>
              <w:rFonts w:ascii="Trebuchet MS" w:eastAsia="Times New Roman" w:hAnsi="Trebuchet MS" w:cstheme="minorHAnsi"/>
              <w:color w:val="808080" w:themeColor="background1" w:themeShade="80"/>
              <w:sz w:val="12"/>
              <w:szCs w:val="12"/>
              <w:lang w:eastAsia="es-ES"/>
            </w:rPr>
            <w:t>35259 Ingenio (Las Palmas)</w:t>
          </w:r>
        </w:p>
        <w:p w:rsidR="00C20C19" w:rsidRPr="000B19A9" w:rsidRDefault="00C20C19" w:rsidP="000B19A9">
          <w:pPr>
            <w:pStyle w:val="Piedepgina"/>
            <w:jc w:val="center"/>
            <w:rPr>
              <w:rFonts w:asciiTheme="minorHAnsi" w:eastAsiaTheme="minorHAnsi" w:hAnsiTheme="minorHAnsi" w:cstheme="minorBidi"/>
            </w:rPr>
          </w:pPr>
        </w:p>
      </w:tc>
    </w:tr>
  </w:tbl>
  <w:p w:rsidR="00C20C19" w:rsidRPr="000F21FA" w:rsidRDefault="00C20C19" w:rsidP="000F21F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C19" w:rsidRDefault="00C20C19" w:rsidP="0043583C">
      <w:pPr>
        <w:spacing w:after="0" w:line="240" w:lineRule="auto"/>
      </w:pPr>
      <w:r>
        <w:separator/>
      </w:r>
    </w:p>
  </w:footnote>
  <w:footnote w:type="continuationSeparator" w:id="0">
    <w:p w:rsidR="00C20C19" w:rsidRDefault="00C20C19" w:rsidP="004358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209"/>
      <w:gridCol w:w="3210"/>
      <w:gridCol w:w="3210"/>
    </w:tblGrid>
    <w:tr w:rsidR="00C20C19" w:rsidRPr="000B19A9" w:rsidTr="000B19A9">
      <w:tc>
        <w:tcPr>
          <w:tcW w:w="3209" w:type="dxa"/>
        </w:tcPr>
        <w:p w:rsidR="00C20C19" w:rsidRPr="000B19A9" w:rsidRDefault="00C20C19" w:rsidP="000B19A9">
          <w:pPr>
            <w:pStyle w:val="Encabezado"/>
            <w:jc w:val="both"/>
            <w:rPr>
              <w:rFonts w:asciiTheme="minorHAnsi" w:eastAsiaTheme="minorHAnsi" w:hAnsiTheme="minorHAnsi" w:cstheme="minorBidi"/>
            </w:rPr>
          </w:pPr>
          <w:r>
            <w:rPr>
              <w:rFonts w:asciiTheme="minorHAnsi" w:eastAsiaTheme="minorHAnsi" w:hAnsiTheme="minorHAnsi" w:cstheme="minorBidi"/>
              <w:noProof/>
              <w:lang w:eastAsia="es-ES"/>
            </w:rPr>
            <w:drawing>
              <wp:inline distT="0" distB="0" distL="0" distR="0">
                <wp:extent cx="1438910" cy="501015"/>
                <wp:effectExtent l="0" t="0" r="8890" b="0"/>
                <wp:docPr id="2" name="Imagen 2"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cono&#10;&#10;Descripción generada automáticamente con confianza media"/>
                        <pic:cNvPicPr>
                          <a:picLocks noChangeAspect="1" noChangeArrowheads="1"/>
                        </pic:cNvPicPr>
                      </pic:nvPicPr>
                      <pic:blipFill>
                        <a:blip r:embed="rId1"/>
                        <a:srcRect/>
                        <a:stretch>
                          <a:fillRect/>
                        </a:stretch>
                      </pic:blipFill>
                      <pic:spPr bwMode="auto">
                        <a:xfrm>
                          <a:off x="0" y="0"/>
                          <a:ext cx="1438910" cy="501015"/>
                        </a:xfrm>
                        <a:prstGeom prst="rect">
                          <a:avLst/>
                        </a:prstGeom>
                        <a:noFill/>
                        <a:ln w="9525">
                          <a:noFill/>
                          <a:miter lim="800000"/>
                          <a:headEnd/>
                          <a:tailEnd/>
                        </a:ln>
                      </pic:spPr>
                    </pic:pic>
                  </a:graphicData>
                </a:graphic>
              </wp:inline>
            </w:drawing>
          </w:r>
        </w:p>
      </w:tc>
      <w:tc>
        <w:tcPr>
          <w:tcW w:w="3210" w:type="dxa"/>
        </w:tcPr>
        <w:p w:rsidR="00C20C19" w:rsidRPr="000B19A9" w:rsidRDefault="00C20C19" w:rsidP="00AC097E">
          <w:pPr>
            <w:pStyle w:val="Encabezado"/>
            <w:rPr>
              <w:rFonts w:asciiTheme="minorHAnsi" w:eastAsiaTheme="minorHAnsi" w:hAnsiTheme="minorHAnsi" w:cstheme="minorBidi"/>
            </w:rPr>
          </w:pPr>
        </w:p>
      </w:tc>
      <w:tc>
        <w:tcPr>
          <w:tcW w:w="3210" w:type="dxa"/>
        </w:tcPr>
        <w:p w:rsidR="00C20C19" w:rsidRPr="000B19A9" w:rsidRDefault="00C20C19" w:rsidP="000B19A9">
          <w:pPr>
            <w:pStyle w:val="Encabezado"/>
            <w:jc w:val="right"/>
            <w:rPr>
              <w:rFonts w:asciiTheme="minorHAnsi" w:eastAsiaTheme="minorHAnsi" w:hAnsiTheme="minorHAnsi" w:cstheme="minorBidi"/>
            </w:rPr>
          </w:pPr>
          <w:r>
            <w:rPr>
              <w:rFonts w:asciiTheme="minorHAnsi" w:eastAsiaTheme="minorHAnsi" w:hAnsiTheme="minorHAnsi" w:cstheme="minorBidi"/>
              <w:noProof/>
              <w:lang w:eastAsia="es-ES"/>
            </w:rPr>
            <w:drawing>
              <wp:inline distT="0" distB="0" distL="0" distR="0">
                <wp:extent cx="1041400" cy="501015"/>
                <wp:effectExtent l="0" t="0" r="6350" b="0"/>
                <wp:docPr id="1" name="Imagen 3"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nterfaz de usuario gráfica, Texto&#10;&#10;Descripción generada automáticamente"/>
                        <pic:cNvPicPr>
                          <a:picLocks noChangeAspect="1" noChangeArrowheads="1"/>
                        </pic:cNvPicPr>
                      </pic:nvPicPr>
                      <pic:blipFill>
                        <a:blip r:embed="rId2"/>
                        <a:srcRect/>
                        <a:stretch>
                          <a:fillRect/>
                        </a:stretch>
                      </pic:blipFill>
                      <pic:spPr bwMode="auto">
                        <a:xfrm>
                          <a:off x="0" y="0"/>
                          <a:ext cx="1041400" cy="501015"/>
                        </a:xfrm>
                        <a:prstGeom prst="rect">
                          <a:avLst/>
                        </a:prstGeom>
                        <a:noFill/>
                        <a:ln w="9525">
                          <a:noFill/>
                          <a:miter lim="800000"/>
                          <a:headEnd/>
                          <a:tailEnd/>
                        </a:ln>
                      </pic:spPr>
                    </pic:pic>
                  </a:graphicData>
                </a:graphic>
              </wp:inline>
            </w:drawing>
          </w:r>
        </w:p>
      </w:tc>
    </w:tr>
  </w:tbl>
  <w:p w:rsidR="00C20C19" w:rsidRPr="00AC097E" w:rsidRDefault="00C20C19" w:rsidP="00AC097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A13C11"/>
    <w:rsid w:val="00021BF4"/>
    <w:rsid w:val="000250AD"/>
    <w:rsid w:val="000B19A9"/>
    <w:rsid w:val="000F21FA"/>
    <w:rsid w:val="001417C5"/>
    <w:rsid w:val="00197C6E"/>
    <w:rsid w:val="00205B89"/>
    <w:rsid w:val="00206A4A"/>
    <w:rsid w:val="00236AF4"/>
    <w:rsid w:val="002422D3"/>
    <w:rsid w:val="0029632F"/>
    <w:rsid w:val="002B6412"/>
    <w:rsid w:val="002C2838"/>
    <w:rsid w:val="0030132F"/>
    <w:rsid w:val="003611E9"/>
    <w:rsid w:val="003811A9"/>
    <w:rsid w:val="003C6F19"/>
    <w:rsid w:val="003D0497"/>
    <w:rsid w:val="0043583C"/>
    <w:rsid w:val="004B24DE"/>
    <w:rsid w:val="004C74BD"/>
    <w:rsid w:val="0062658D"/>
    <w:rsid w:val="006D0554"/>
    <w:rsid w:val="007260B7"/>
    <w:rsid w:val="0076712F"/>
    <w:rsid w:val="00770D3B"/>
    <w:rsid w:val="0078408E"/>
    <w:rsid w:val="00811A75"/>
    <w:rsid w:val="0084154F"/>
    <w:rsid w:val="00872749"/>
    <w:rsid w:val="00872DDF"/>
    <w:rsid w:val="00876D7C"/>
    <w:rsid w:val="008A12AC"/>
    <w:rsid w:val="008D4874"/>
    <w:rsid w:val="00915E21"/>
    <w:rsid w:val="0096424E"/>
    <w:rsid w:val="009A6E7E"/>
    <w:rsid w:val="009D2D74"/>
    <w:rsid w:val="00A13C11"/>
    <w:rsid w:val="00A17546"/>
    <w:rsid w:val="00AB70C3"/>
    <w:rsid w:val="00AC097E"/>
    <w:rsid w:val="00AE40D1"/>
    <w:rsid w:val="00B2476F"/>
    <w:rsid w:val="00B66E75"/>
    <w:rsid w:val="00C20C19"/>
    <w:rsid w:val="00C478D0"/>
    <w:rsid w:val="00CD073C"/>
    <w:rsid w:val="00CD0E09"/>
    <w:rsid w:val="00D84F81"/>
    <w:rsid w:val="00DA0C55"/>
    <w:rsid w:val="00DE1A03"/>
    <w:rsid w:val="00E565E3"/>
    <w:rsid w:val="00E56B83"/>
    <w:rsid w:val="00E86A2D"/>
    <w:rsid w:val="00ED0DE5"/>
    <w:rsid w:val="00F83111"/>
    <w:rsid w:val="00F87718"/>
    <w:rsid w:val="00FE7B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12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58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583C"/>
  </w:style>
  <w:style w:type="paragraph" w:styleId="Piedepgina">
    <w:name w:val="footer"/>
    <w:basedOn w:val="Normal"/>
    <w:link w:val="PiedepginaCar"/>
    <w:uiPriority w:val="99"/>
    <w:unhideWhenUsed/>
    <w:rsid w:val="004358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583C"/>
  </w:style>
  <w:style w:type="paragraph" w:styleId="Textodeglobo">
    <w:name w:val="Balloon Text"/>
    <w:basedOn w:val="Normal"/>
    <w:link w:val="TextodegloboCar"/>
    <w:uiPriority w:val="99"/>
    <w:semiHidden/>
    <w:unhideWhenUsed/>
    <w:rsid w:val="004358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583C"/>
    <w:rPr>
      <w:rFonts w:ascii="Tahoma" w:hAnsi="Tahoma" w:cs="Tahoma"/>
      <w:sz w:val="16"/>
      <w:szCs w:val="16"/>
    </w:rPr>
  </w:style>
  <w:style w:type="character" w:styleId="Hipervnculo">
    <w:name w:val="Hyperlink"/>
    <w:basedOn w:val="Fuentedeprrafopredeter"/>
    <w:uiPriority w:val="99"/>
    <w:unhideWhenUsed/>
    <w:rsid w:val="009D2D74"/>
    <w:rPr>
      <w:color w:val="0000FF"/>
      <w:u w:val="single"/>
    </w:rPr>
  </w:style>
  <w:style w:type="table" w:styleId="Tablaconcuadrcula">
    <w:name w:val="Table Grid"/>
    <w:basedOn w:val="Tablanormal"/>
    <w:uiPriority w:val="59"/>
    <w:unhideWhenUsed/>
    <w:rsid w:val="000F21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611E9"/>
    <w:pPr>
      <w:spacing w:before="100" w:beforeAutospacing="1" w:after="142"/>
    </w:pPr>
    <w:rPr>
      <w:rFonts w:ascii="Times New Roman" w:eastAsia="Times New Roman" w:hAnsi="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9023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cienda.gob.es/Documentacion/Publico/D.G.%20PATRIMONIO/Junta%20Consultiva/RECOMENDACI%C3%93N%20marzo%202018.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gmrcanarias.com" TargetMode="External"/><Relationship Id="rId2" Type="http://schemas.openxmlformats.org/officeDocument/2006/relationships/hyperlink" Target="te:+34922236048" TargetMode="External"/><Relationship Id="rId1" Type="http://schemas.openxmlformats.org/officeDocument/2006/relationships/image" Target="media/image3.png"/><Relationship Id="rId4" Type="http://schemas.openxmlformats.org/officeDocument/2006/relationships/hyperlink" Target="http://www.gmrcanaria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3521C-C127-4D01-967F-A08FBB82A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282</Words>
  <Characters>1555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rosariorg</dc:creator>
  <cp:lastModifiedBy>rosariorg</cp:lastModifiedBy>
  <cp:revision>5</cp:revision>
  <cp:lastPrinted>2023-06-01T09:55:00Z</cp:lastPrinted>
  <dcterms:created xsi:type="dcterms:W3CDTF">2023-10-11T09:29:00Z</dcterms:created>
  <dcterms:modified xsi:type="dcterms:W3CDTF">2023-10-11T10:25:00Z</dcterms:modified>
</cp:coreProperties>
</file>