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006A7" w14:textId="77777777" w:rsidR="00F14304" w:rsidRDefault="00F14304" w:rsidP="00FA6FDE">
      <w:pPr>
        <w:widowControl w:val="0"/>
        <w:autoSpaceDE w:val="0"/>
        <w:autoSpaceDN w:val="0"/>
        <w:adjustRightInd w:val="0"/>
        <w:spacing w:before="100" w:beforeAutospacing="1"/>
        <w:ind w:left="-238" w:right="627"/>
        <w:jc w:val="center"/>
        <w:rPr>
          <w:rFonts w:cs="Arial"/>
        </w:rPr>
      </w:pPr>
    </w:p>
    <w:p w14:paraId="623BE8D1" w14:textId="77777777" w:rsidR="00F14304" w:rsidRDefault="00F14304" w:rsidP="0024167E">
      <w:pPr>
        <w:widowControl w:val="0"/>
        <w:autoSpaceDE w:val="0"/>
        <w:autoSpaceDN w:val="0"/>
        <w:adjustRightInd w:val="0"/>
        <w:spacing w:before="100" w:beforeAutospacing="1"/>
        <w:ind w:left="-238"/>
        <w:jc w:val="center"/>
        <w:rPr>
          <w:rFonts w:cs="Arial"/>
        </w:rPr>
      </w:pPr>
    </w:p>
    <w:p w14:paraId="2F5F83F3" w14:textId="77777777" w:rsidR="00F14304" w:rsidRDefault="00A46419" w:rsidP="00F14304">
      <w:pPr>
        <w:widowControl w:val="0"/>
        <w:autoSpaceDE w:val="0"/>
        <w:autoSpaceDN w:val="0"/>
        <w:adjustRightInd w:val="0"/>
        <w:spacing w:before="100" w:beforeAutospacing="1"/>
        <w:ind w:left="-238"/>
        <w:jc w:val="center"/>
        <w:rPr>
          <w:rFonts w:cs="Arial"/>
        </w:rPr>
      </w:pPr>
      <w:r>
        <w:rPr>
          <w:rFonts w:cs="Arial"/>
        </w:rPr>
        <w:t>Í</w:t>
      </w:r>
      <w:r w:rsidR="00F14304">
        <w:rPr>
          <w:rFonts w:cs="Arial"/>
        </w:rPr>
        <w:t>NDICE</w:t>
      </w:r>
      <w:r w:rsidR="00F14304">
        <w:rPr>
          <w:rFonts w:cs="Arial"/>
        </w:rPr>
        <w:tab/>
      </w:r>
    </w:p>
    <w:p w14:paraId="7E55DBF0" w14:textId="77777777" w:rsidR="00F14304" w:rsidRPr="00E92CA7" w:rsidRDefault="00F14304" w:rsidP="00B30192">
      <w:pPr>
        <w:widowControl w:val="0"/>
        <w:autoSpaceDE w:val="0"/>
        <w:autoSpaceDN w:val="0"/>
        <w:adjustRightInd w:val="0"/>
        <w:spacing w:before="100" w:beforeAutospacing="1"/>
        <w:ind w:left="-238"/>
        <w:jc w:val="right"/>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2F35D4">
        <w:rPr>
          <w:rFonts w:cs="Arial"/>
        </w:rPr>
        <w:tab/>
      </w:r>
      <w:r>
        <w:rPr>
          <w:rFonts w:cs="Arial"/>
        </w:rPr>
        <w:t>Páginas</w:t>
      </w:r>
    </w:p>
    <w:p w14:paraId="3EE37E26" w14:textId="3B0C9232" w:rsidR="00991274" w:rsidRPr="00721D3F" w:rsidRDefault="006030D0" w:rsidP="0038767E">
      <w:pPr>
        <w:widowControl w:val="0"/>
        <w:numPr>
          <w:ilvl w:val="0"/>
          <w:numId w:val="1"/>
        </w:numPr>
        <w:tabs>
          <w:tab w:val="clear" w:pos="720"/>
          <w:tab w:val="num" w:pos="360"/>
          <w:tab w:val="left" w:pos="8520"/>
        </w:tabs>
        <w:spacing w:before="800"/>
        <w:ind w:left="1080" w:hanging="1200"/>
        <w:rPr>
          <w:rFonts w:cs="Arial"/>
          <w:szCs w:val="20"/>
        </w:rPr>
      </w:pPr>
      <w:r w:rsidRPr="00721D3F">
        <w:rPr>
          <w:rFonts w:cs="Arial"/>
          <w:szCs w:val="20"/>
        </w:rPr>
        <w:t>Balance</w:t>
      </w:r>
      <w:r w:rsidR="009417BE" w:rsidRPr="00721D3F">
        <w:rPr>
          <w:rFonts w:cs="Arial"/>
          <w:szCs w:val="20"/>
        </w:rPr>
        <w:t xml:space="preserve"> de situación</w:t>
      </w:r>
      <w:r w:rsidR="00991274" w:rsidRPr="00721D3F">
        <w:rPr>
          <w:rFonts w:cs="Arial"/>
          <w:szCs w:val="20"/>
        </w:rPr>
        <w:t xml:space="preserve"> al 31 de diciembre de 20</w:t>
      </w:r>
      <w:r w:rsidR="00781EEA">
        <w:rPr>
          <w:rFonts w:cs="Arial"/>
          <w:szCs w:val="20"/>
        </w:rPr>
        <w:t>2</w:t>
      </w:r>
      <w:r w:rsidR="00135A39">
        <w:rPr>
          <w:rFonts w:cs="Arial"/>
          <w:szCs w:val="20"/>
        </w:rPr>
        <w:t>4</w:t>
      </w:r>
      <w:r w:rsidR="00F67461" w:rsidRPr="00721D3F">
        <w:rPr>
          <w:rFonts w:cs="Arial"/>
          <w:szCs w:val="20"/>
        </w:rPr>
        <w:t xml:space="preserve"> </w:t>
      </w:r>
      <w:r w:rsidR="0050426D" w:rsidRPr="00721D3F">
        <w:rPr>
          <w:rFonts w:cs="Arial"/>
          <w:szCs w:val="20"/>
        </w:rPr>
        <w:t xml:space="preserve">                                  </w:t>
      </w:r>
      <w:r w:rsidR="005A5C5E" w:rsidRPr="00721D3F">
        <w:rPr>
          <w:rFonts w:cs="Arial"/>
          <w:szCs w:val="20"/>
        </w:rPr>
        <w:t xml:space="preserve">                         </w:t>
      </w:r>
      <w:r w:rsidR="005A5C5E" w:rsidRPr="00721D3F">
        <w:rPr>
          <w:rFonts w:cs="Arial"/>
          <w:szCs w:val="20"/>
        </w:rPr>
        <w:tab/>
        <w:t>1</w:t>
      </w:r>
      <w:r w:rsidR="00455369" w:rsidRPr="00721D3F">
        <w:rPr>
          <w:rFonts w:cs="Arial"/>
          <w:szCs w:val="20"/>
        </w:rPr>
        <w:t xml:space="preserve"> - </w:t>
      </w:r>
      <w:r w:rsidR="005A5C5E" w:rsidRPr="00721D3F">
        <w:rPr>
          <w:rFonts w:cs="Arial"/>
          <w:szCs w:val="20"/>
        </w:rPr>
        <w:t xml:space="preserve">2 </w:t>
      </w:r>
    </w:p>
    <w:p w14:paraId="386B4A4D" w14:textId="17492116" w:rsidR="00F14304" w:rsidRPr="00721D3F" w:rsidRDefault="006030D0" w:rsidP="0038767E">
      <w:pPr>
        <w:widowControl w:val="0"/>
        <w:numPr>
          <w:ilvl w:val="0"/>
          <w:numId w:val="1"/>
        </w:numPr>
        <w:tabs>
          <w:tab w:val="clear" w:pos="720"/>
          <w:tab w:val="num" w:pos="360"/>
          <w:tab w:val="left" w:pos="8520"/>
        </w:tabs>
        <w:spacing w:before="400"/>
        <w:ind w:left="1080" w:hanging="1200"/>
        <w:rPr>
          <w:rFonts w:cs="Arial"/>
          <w:szCs w:val="20"/>
        </w:rPr>
      </w:pPr>
      <w:r w:rsidRPr="00721D3F">
        <w:rPr>
          <w:rFonts w:cs="Arial"/>
          <w:szCs w:val="20"/>
        </w:rPr>
        <w:t>Cuenta</w:t>
      </w:r>
      <w:r w:rsidR="00991274" w:rsidRPr="00721D3F">
        <w:rPr>
          <w:rFonts w:cs="Arial"/>
          <w:szCs w:val="20"/>
        </w:rPr>
        <w:t xml:space="preserve"> de pérdidas y ganancias </w:t>
      </w:r>
      <w:r w:rsidR="00E830CB">
        <w:rPr>
          <w:rFonts w:cs="Arial"/>
          <w:szCs w:val="20"/>
        </w:rPr>
        <w:t xml:space="preserve">abreviada </w:t>
      </w:r>
      <w:r w:rsidR="00006DBA" w:rsidRPr="00721D3F">
        <w:rPr>
          <w:rFonts w:cs="Arial"/>
          <w:szCs w:val="20"/>
        </w:rPr>
        <w:t>correspondiente</w:t>
      </w:r>
      <w:r w:rsidRPr="00721D3F">
        <w:rPr>
          <w:rFonts w:cs="Arial"/>
          <w:szCs w:val="20"/>
        </w:rPr>
        <w:t xml:space="preserve"> al ejercicio</w:t>
      </w:r>
      <w:r w:rsidR="00991274" w:rsidRPr="00721D3F">
        <w:rPr>
          <w:rFonts w:cs="Arial"/>
          <w:szCs w:val="20"/>
        </w:rPr>
        <w:t xml:space="preserve"> </w:t>
      </w:r>
      <w:r w:rsidR="00006DBA" w:rsidRPr="00721D3F">
        <w:rPr>
          <w:rFonts w:cs="Arial"/>
          <w:szCs w:val="20"/>
        </w:rPr>
        <w:t xml:space="preserve">anual </w:t>
      </w:r>
      <w:r w:rsidR="005A5C5E" w:rsidRPr="00721D3F">
        <w:rPr>
          <w:rFonts w:cs="Arial"/>
          <w:szCs w:val="20"/>
        </w:rPr>
        <w:t>terminado</w:t>
      </w:r>
      <w:r w:rsidR="005A5C5E" w:rsidRPr="00721D3F">
        <w:rPr>
          <w:rFonts w:cs="Arial"/>
          <w:szCs w:val="20"/>
        </w:rPr>
        <w:tab/>
        <w:t>3</w:t>
      </w:r>
    </w:p>
    <w:p w14:paraId="070E454A" w14:textId="078BA4A9" w:rsidR="00991274" w:rsidRPr="00721D3F" w:rsidRDefault="00F14304" w:rsidP="0050426D">
      <w:pPr>
        <w:widowControl w:val="0"/>
        <w:tabs>
          <w:tab w:val="left" w:pos="360"/>
        </w:tabs>
        <w:spacing w:before="120"/>
        <w:ind w:left="-119"/>
        <w:rPr>
          <w:rFonts w:cs="Arial"/>
          <w:szCs w:val="20"/>
        </w:rPr>
      </w:pPr>
      <w:r w:rsidRPr="00721D3F">
        <w:rPr>
          <w:rFonts w:cs="Arial"/>
          <w:szCs w:val="20"/>
        </w:rPr>
        <w:tab/>
      </w:r>
      <w:r w:rsidR="00991274" w:rsidRPr="00721D3F">
        <w:rPr>
          <w:rFonts w:cs="Arial"/>
          <w:szCs w:val="20"/>
        </w:rPr>
        <w:t>el 31 de diciembre de 20</w:t>
      </w:r>
      <w:r w:rsidR="00781EEA">
        <w:rPr>
          <w:rFonts w:cs="Arial"/>
          <w:szCs w:val="20"/>
        </w:rPr>
        <w:t>2</w:t>
      </w:r>
      <w:r w:rsidR="00135A39">
        <w:rPr>
          <w:rFonts w:cs="Arial"/>
          <w:szCs w:val="20"/>
        </w:rPr>
        <w:t>4</w:t>
      </w:r>
    </w:p>
    <w:p w14:paraId="4984EF24" w14:textId="77777777" w:rsidR="00F14304" w:rsidRPr="00721D3F" w:rsidRDefault="00991274" w:rsidP="00455369">
      <w:pPr>
        <w:widowControl w:val="0"/>
        <w:numPr>
          <w:ilvl w:val="0"/>
          <w:numId w:val="1"/>
        </w:numPr>
        <w:tabs>
          <w:tab w:val="clear" w:pos="720"/>
          <w:tab w:val="num" w:pos="360"/>
          <w:tab w:val="left" w:pos="8520"/>
        </w:tabs>
        <w:spacing w:before="400"/>
        <w:ind w:left="1080" w:right="-187" w:hanging="1200"/>
        <w:rPr>
          <w:rFonts w:cs="Arial"/>
          <w:szCs w:val="20"/>
        </w:rPr>
      </w:pPr>
      <w:r w:rsidRPr="00721D3F">
        <w:rPr>
          <w:rFonts w:cs="Arial"/>
          <w:szCs w:val="20"/>
        </w:rPr>
        <w:t xml:space="preserve">Estado de cambios en el patrimonio neto </w:t>
      </w:r>
      <w:r w:rsidR="00006DBA" w:rsidRPr="00721D3F">
        <w:rPr>
          <w:rFonts w:cs="Arial"/>
          <w:szCs w:val="20"/>
        </w:rPr>
        <w:t>correspondiente</w:t>
      </w:r>
      <w:r w:rsidR="006030D0" w:rsidRPr="00721D3F">
        <w:rPr>
          <w:rFonts w:cs="Arial"/>
          <w:szCs w:val="20"/>
        </w:rPr>
        <w:t xml:space="preserve"> al ejercicio anual terminado</w:t>
      </w:r>
      <w:r w:rsidR="00455369" w:rsidRPr="00721D3F">
        <w:rPr>
          <w:rFonts w:cs="Arial"/>
          <w:szCs w:val="20"/>
        </w:rPr>
        <w:tab/>
      </w:r>
      <w:r w:rsidR="00F14304" w:rsidRPr="00721D3F">
        <w:rPr>
          <w:rFonts w:cs="Arial"/>
          <w:szCs w:val="20"/>
        </w:rPr>
        <w:t>4</w:t>
      </w:r>
      <w:r w:rsidR="00455369" w:rsidRPr="00721D3F">
        <w:rPr>
          <w:rFonts w:cs="Arial"/>
          <w:szCs w:val="20"/>
        </w:rPr>
        <w:t xml:space="preserve"> -</w:t>
      </w:r>
      <w:r w:rsidR="0050426D" w:rsidRPr="00721D3F">
        <w:rPr>
          <w:rFonts w:cs="Arial"/>
          <w:szCs w:val="20"/>
        </w:rPr>
        <w:t xml:space="preserve"> </w:t>
      </w:r>
      <w:r w:rsidR="00F14304" w:rsidRPr="00721D3F">
        <w:rPr>
          <w:rFonts w:cs="Arial"/>
          <w:szCs w:val="20"/>
        </w:rPr>
        <w:t>5</w:t>
      </w:r>
      <w:r w:rsidR="005A5C5E" w:rsidRPr="00721D3F">
        <w:rPr>
          <w:rFonts w:cs="Arial"/>
          <w:szCs w:val="20"/>
        </w:rPr>
        <w:t xml:space="preserve"> </w:t>
      </w:r>
    </w:p>
    <w:p w14:paraId="0BD707F5" w14:textId="0040902B" w:rsidR="006030D0" w:rsidRPr="00721D3F" w:rsidRDefault="00F14304" w:rsidP="0050426D">
      <w:pPr>
        <w:widowControl w:val="0"/>
        <w:tabs>
          <w:tab w:val="left" w:pos="360"/>
        </w:tabs>
        <w:spacing w:before="120"/>
        <w:ind w:left="-119"/>
        <w:rPr>
          <w:rFonts w:cs="Arial"/>
          <w:szCs w:val="20"/>
        </w:rPr>
      </w:pPr>
      <w:r w:rsidRPr="00721D3F">
        <w:rPr>
          <w:rFonts w:cs="Arial"/>
          <w:szCs w:val="20"/>
        </w:rPr>
        <w:t xml:space="preserve">   </w:t>
      </w:r>
      <w:r w:rsidRPr="00721D3F">
        <w:rPr>
          <w:rFonts w:cs="Arial"/>
          <w:szCs w:val="20"/>
        </w:rPr>
        <w:tab/>
        <w:t xml:space="preserve">el 31 de </w:t>
      </w:r>
      <w:r w:rsidR="00006DBA" w:rsidRPr="00721D3F">
        <w:rPr>
          <w:rFonts w:cs="Arial"/>
          <w:szCs w:val="20"/>
        </w:rPr>
        <w:t>diciembre de 20</w:t>
      </w:r>
      <w:r w:rsidR="00781EEA">
        <w:rPr>
          <w:rFonts w:cs="Arial"/>
          <w:szCs w:val="20"/>
        </w:rPr>
        <w:t>2</w:t>
      </w:r>
      <w:r w:rsidR="00135A39">
        <w:rPr>
          <w:rFonts w:cs="Arial"/>
          <w:szCs w:val="20"/>
        </w:rPr>
        <w:t>4</w:t>
      </w:r>
      <w:r w:rsidRPr="00721D3F">
        <w:rPr>
          <w:rFonts w:cs="Arial"/>
          <w:szCs w:val="20"/>
        </w:rPr>
        <w:tab/>
      </w:r>
    </w:p>
    <w:p w14:paraId="5358E73E" w14:textId="77777777" w:rsidR="00F14304" w:rsidRPr="00721D3F" w:rsidRDefault="00991274" w:rsidP="0038767E">
      <w:pPr>
        <w:widowControl w:val="0"/>
        <w:numPr>
          <w:ilvl w:val="0"/>
          <w:numId w:val="1"/>
        </w:numPr>
        <w:tabs>
          <w:tab w:val="clear" w:pos="720"/>
          <w:tab w:val="num" w:pos="360"/>
          <w:tab w:val="left" w:pos="8520"/>
        </w:tabs>
        <w:spacing w:before="400"/>
        <w:ind w:left="1080" w:hanging="1200"/>
        <w:rPr>
          <w:rFonts w:cs="Arial"/>
          <w:szCs w:val="20"/>
        </w:rPr>
      </w:pPr>
      <w:r w:rsidRPr="00721D3F">
        <w:rPr>
          <w:rFonts w:cs="Arial"/>
          <w:szCs w:val="20"/>
        </w:rPr>
        <w:t>Estado</w:t>
      </w:r>
      <w:r w:rsidR="006030D0" w:rsidRPr="00721D3F">
        <w:rPr>
          <w:rFonts w:cs="Arial"/>
          <w:szCs w:val="20"/>
        </w:rPr>
        <w:t xml:space="preserve"> de flujo</w:t>
      </w:r>
      <w:r w:rsidR="00F55978" w:rsidRPr="00721D3F">
        <w:rPr>
          <w:rFonts w:cs="Arial"/>
          <w:szCs w:val="20"/>
        </w:rPr>
        <w:t>s</w:t>
      </w:r>
      <w:r w:rsidRPr="00721D3F">
        <w:rPr>
          <w:rFonts w:cs="Arial"/>
          <w:szCs w:val="20"/>
        </w:rPr>
        <w:t xml:space="preserve"> de efectivo</w:t>
      </w:r>
      <w:r w:rsidR="00006DBA" w:rsidRPr="00721D3F">
        <w:rPr>
          <w:rFonts w:cs="Arial"/>
          <w:szCs w:val="20"/>
        </w:rPr>
        <w:t xml:space="preserve"> correspondiente</w:t>
      </w:r>
      <w:r w:rsidR="0038767E" w:rsidRPr="00721D3F">
        <w:rPr>
          <w:rFonts w:cs="Arial"/>
          <w:szCs w:val="20"/>
        </w:rPr>
        <w:t xml:space="preserve"> al ejercicio anual terminad</w:t>
      </w:r>
      <w:r w:rsidR="00BF5B82" w:rsidRPr="00721D3F">
        <w:rPr>
          <w:rFonts w:cs="Arial"/>
          <w:szCs w:val="20"/>
        </w:rPr>
        <w:t>o</w:t>
      </w:r>
      <w:r w:rsidR="005A5C5E" w:rsidRPr="00721D3F">
        <w:rPr>
          <w:rFonts w:cs="Arial"/>
          <w:szCs w:val="20"/>
        </w:rPr>
        <w:tab/>
      </w:r>
      <w:r w:rsidR="00F14304" w:rsidRPr="00721D3F">
        <w:rPr>
          <w:rFonts w:cs="Arial"/>
          <w:szCs w:val="20"/>
        </w:rPr>
        <w:t>6</w:t>
      </w:r>
    </w:p>
    <w:p w14:paraId="14AC19EE" w14:textId="136D69D0" w:rsidR="00991274" w:rsidRPr="007A28F1" w:rsidRDefault="00F14304" w:rsidP="0050426D">
      <w:pPr>
        <w:widowControl w:val="0"/>
        <w:tabs>
          <w:tab w:val="left" w:pos="360"/>
        </w:tabs>
        <w:spacing w:before="120"/>
        <w:ind w:left="-119"/>
        <w:rPr>
          <w:rFonts w:cs="Arial"/>
          <w:szCs w:val="20"/>
        </w:rPr>
      </w:pPr>
      <w:r w:rsidRPr="00721D3F">
        <w:rPr>
          <w:rFonts w:cs="Arial"/>
          <w:szCs w:val="20"/>
        </w:rPr>
        <w:tab/>
      </w:r>
      <w:r w:rsidR="008D40E6" w:rsidRPr="007A28F1">
        <w:rPr>
          <w:rFonts w:cs="Arial"/>
          <w:szCs w:val="20"/>
        </w:rPr>
        <w:t>el 31 de diciembre de 20</w:t>
      </w:r>
      <w:r w:rsidR="00781EEA" w:rsidRPr="007A28F1">
        <w:rPr>
          <w:rFonts w:cs="Arial"/>
          <w:szCs w:val="20"/>
        </w:rPr>
        <w:t>2</w:t>
      </w:r>
      <w:r w:rsidR="00135A39">
        <w:rPr>
          <w:rFonts w:cs="Arial"/>
          <w:szCs w:val="20"/>
        </w:rPr>
        <w:t>4</w:t>
      </w:r>
    </w:p>
    <w:p w14:paraId="296B8239" w14:textId="4CB8B12C" w:rsidR="00991274" w:rsidRPr="0029589D" w:rsidRDefault="00991274" w:rsidP="0038767E">
      <w:pPr>
        <w:widowControl w:val="0"/>
        <w:numPr>
          <w:ilvl w:val="0"/>
          <w:numId w:val="1"/>
        </w:numPr>
        <w:tabs>
          <w:tab w:val="clear" w:pos="720"/>
          <w:tab w:val="num" w:pos="360"/>
          <w:tab w:val="left" w:pos="8520"/>
        </w:tabs>
        <w:spacing w:before="400"/>
        <w:ind w:left="1080" w:right="-1413" w:hanging="1200"/>
        <w:rPr>
          <w:rFonts w:cs="Arial"/>
          <w:szCs w:val="20"/>
        </w:rPr>
      </w:pPr>
      <w:r w:rsidRPr="008A6442">
        <w:rPr>
          <w:rFonts w:cs="Arial"/>
          <w:szCs w:val="20"/>
        </w:rPr>
        <w:t>Memoria</w:t>
      </w:r>
      <w:r w:rsidR="00D1506C" w:rsidRPr="008A6442">
        <w:rPr>
          <w:rFonts w:cs="Arial"/>
          <w:szCs w:val="20"/>
        </w:rPr>
        <w:t xml:space="preserve"> correspondiente al ejercicio anual terminado el 31 de diciembre de </w:t>
      </w:r>
      <w:r w:rsidR="00D1506C" w:rsidRPr="0029589D">
        <w:rPr>
          <w:rFonts w:cs="Arial"/>
          <w:szCs w:val="20"/>
        </w:rPr>
        <w:t>20</w:t>
      </w:r>
      <w:r w:rsidR="00781EEA" w:rsidRPr="0029589D">
        <w:rPr>
          <w:rFonts w:cs="Arial"/>
          <w:szCs w:val="20"/>
        </w:rPr>
        <w:t>2</w:t>
      </w:r>
      <w:r w:rsidR="00135A39" w:rsidRPr="0029589D">
        <w:rPr>
          <w:rFonts w:cs="Arial"/>
          <w:szCs w:val="20"/>
        </w:rPr>
        <w:t>4</w:t>
      </w:r>
      <w:r w:rsidR="000B4C83" w:rsidRPr="0029589D">
        <w:rPr>
          <w:rFonts w:cs="Arial"/>
          <w:szCs w:val="20"/>
        </w:rPr>
        <w:t xml:space="preserve">   </w:t>
      </w:r>
      <w:r w:rsidR="0040748C" w:rsidRPr="0029589D">
        <w:rPr>
          <w:rFonts w:cs="Arial"/>
          <w:szCs w:val="20"/>
        </w:rPr>
        <w:t xml:space="preserve">      </w:t>
      </w:r>
      <w:r w:rsidR="00EC4BDF" w:rsidRPr="0029589D">
        <w:rPr>
          <w:rFonts w:cs="Arial"/>
          <w:szCs w:val="20"/>
        </w:rPr>
        <w:t xml:space="preserve">  </w:t>
      </w:r>
      <w:r w:rsidR="00D07CD3" w:rsidRPr="0029589D">
        <w:rPr>
          <w:rFonts w:cs="Arial"/>
          <w:szCs w:val="20"/>
        </w:rPr>
        <w:tab/>
      </w:r>
      <w:r w:rsidR="00455369" w:rsidRPr="0029589D">
        <w:rPr>
          <w:rFonts w:cs="Arial"/>
          <w:szCs w:val="20"/>
        </w:rPr>
        <w:t xml:space="preserve">7 - </w:t>
      </w:r>
      <w:r w:rsidR="00F14223" w:rsidRPr="0029589D">
        <w:rPr>
          <w:rFonts w:cs="Arial"/>
          <w:szCs w:val="20"/>
        </w:rPr>
        <w:t>5</w:t>
      </w:r>
      <w:r w:rsidR="003431F3" w:rsidRPr="0029589D">
        <w:rPr>
          <w:rFonts w:cs="Arial"/>
          <w:szCs w:val="20"/>
        </w:rPr>
        <w:t>8</w:t>
      </w:r>
    </w:p>
    <w:p w14:paraId="1C6F987B" w14:textId="79F12F84" w:rsidR="00AB23C1" w:rsidRPr="0029589D" w:rsidRDefault="0038767E" w:rsidP="00455369">
      <w:pPr>
        <w:widowControl w:val="0"/>
        <w:numPr>
          <w:ilvl w:val="0"/>
          <w:numId w:val="1"/>
        </w:numPr>
        <w:tabs>
          <w:tab w:val="clear" w:pos="720"/>
          <w:tab w:val="num" w:pos="360"/>
          <w:tab w:val="left" w:pos="8520"/>
        </w:tabs>
        <w:spacing w:before="400"/>
        <w:ind w:left="1080" w:right="-187" w:hanging="1200"/>
        <w:rPr>
          <w:rFonts w:cs="Arial"/>
          <w:szCs w:val="20"/>
        </w:rPr>
      </w:pPr>
      <w:r w:rsidRPr="0029589D">
        <w:rPr>
          <w:rFonts w:cs="Arial"/>
          <w:szCs w:val="20"/>
        </w:rPr>
        <w:t xml:space="preserve">Informe de </w:t>
      </w:r>
      <w:r w:rsidR="0050426D" w:rsidRPr="0029589D">
        <w:rPr>
          <w:rFonts w:cs="Arial"/>
          <w:szCs w:val="20"/>
        </w:rPr>
        <w:t xml:space="preserve">gestión                                                                                   </w:t>
      </w:r>
      <w:r w:rsidR="00455369" w:rsidRPr="0029589D">
        <w:rPr>
          <w:rFonts w:cs="Arial"/>
          <w:szCs w:val="20"/>
        </w:rPr>
        <w:t xml:space="preserve">                </w:t>
      </w:r>
      <w:r w:rsidR="00455369" w:rsidRPr="0029589D">
        <w:rPr>
          <w:rFonts w:cs="Arial"/>
          <w:szCs w:val="20"/>
        </w:rPr>
        <w:tab/>
      </w:r>
      <w:r w:rsidR="00F14304" w:rsidRPr="0029589D">
        <w:rPr>
          <w:rFonts w:cs="Arial"/>
          <w:szCs w:val="20"/>
        </w:rPr>
        <w:t>1</w:t>
      </w:r>
      <w:r w:rsidR="00455369" w:rsidRPr="0029589D">
        <w:rPr>
          <w:rFonts w:cs="Arial"/>
          <w:szCs w:val="20"/>
        </w:rPr>
        <w:t xml:space="preserve"> </w:t>
      </w:r>
      <w:r w:rsidR="00775E32" w:rsidRPr="0029589D">
        <w:rPr>
          <w:rFonts w:cs="Arial"/>
          <w:szCs w:val="20"/>
        </w:rPr>
        <w:t>–</w:t>
      </w:r>
      <w:r w:rsidR="00455369" w:rsidRPr="0029589D">
        <w:rPr>
          <w:rFonts w:cs="Arial"/>
          <w:szCs w:val="20"/>
        </w:rPr>
        <w:t xml:space="preserve"> </w:t>
      </w:r>
      <w:r w:rsidR="0029589D" w:rsidRPr="0029589D">
        <w:rPr>
          <w:rFonts w:cs="Arial"/>
          <w:szCs w:val="20"/>
        </w:rPr>
        <w:t>9</w:t>
      </w:r>
    </w:p>
    <w:p w14:paraId="00395D03" w14:textId="77777777" w:rsidR="00CE16A5" w:rsidRPr="0029589D" w:rsidRDefault="00CE16A5" w:rsidP="0038767E">
      <w:pPr>
        <w:widowControl w:val="0"/>
        <w:numPr>
          <w:ilvl w:val="0"/>
          <w:numId w:val="1"/>
        </w:numPr>
        <w:tabs>
          <w:tab w:val="clear" w:pos="720"/>
          <w:tab w:val="num" w:pos="360"/>
          <w:tab w:val="left" w:pos="8520"/>
        </w:tabs>
        <w:spacing w:before="400"/>
        <w:ind w:left="1080" w:hanging="1200"/>
        <w:rPr>
          <w:rFonts w:cs="Arial"/>
          <w:szCs w:val="20"/>
        </w:rPr>
      </w:pPr>
      <w:r w:rsidRPr="0029589D">
        <w:rPr>
          <w:rFonts w:cs="Arial"/>
          <w:szCs w:val="20"/>
        </w:rPr>
        <w:t>Formulación de las Cuentas Anuales y del Informe de Gestión</w:t>
      </w:r>
      <w:r w:rsidR="0038767E" w:rsidRPr="0029589D">
        <w:rPr>
          <w:rFonts w:cs="Arial"/>
          <w:szCs w:val="20"/>
        </w:rPr>
        <w:tab/>
      </w:r>
      <w:r w:rsidR="00F14304" w:rsidRPr="0029589D">
        <w:rPr>
          <w:rFonts w:cs="Arial"/>
          <w:szCs w:val="20"/>
        </w:rPr>
        <w:t>1</w:t>
      </w:r>
    </w:p>
    <w:p w14:paraId="33B1E3A7" w14:textId="77777777" w:rsidR="00CE16A5" w:rsidRPr="003D24D2" w:rsidRDefault="00CE16A5" w:rsidP="00CE16A5">
      <w:pPr>
        <w:widowControl w:val="0"/>
        <w:spacing w:before="400"/>
        <w:rPr>
          <w:rFonts w:cs="Arial"/>
          <w:szCs w:val="20"/>
        </w:rPr>
      </w:pPr>
    </w:p>
    <w:p w14:paraId="4A7753E9" w14:textId="77777777" w:rsidR="00F14304" w:rsidRDefault="00F14304" w:rsidP="00CE16A5">
      <w:pPr>
        <w:widowControl w:val="0"/>
        <w:spacing w:before="400"/>
        <w:rPr>
          <w:rFonts w:cs="Arial"/>
        </w:rPr>
      </w:pPr>
    </w:p>
    <w:p w14:paraId="5EDAFC7E" w14:textId="77777777" w:rsidR="00F14304" w:rsidRPr="00CE16A5" w:rsidRDefault="00F14304" w:rsidP="00CE16A5">
      <w:pPr>
        <w:widowControl w:val="0"/>
        <w:spacing w:before="400"/>
        <w:rPr>
          <w:rFonts w:cs="Arial"/>
        </w:rPr>
        <w:sectPr w:rsidR="00F14304" w:rsidRPr="00CE16A5" w:rsidSect="00A64674">
          <w:footerReference w:type="even" r:id="rId8"/>
          <w:pgSz w:w="11907" w:h="16840" w:code="9"/>
          <w:pgMar w:top="1418" w:right="1304" w:bottom="1418" w:left="1304" w:header="1134" w:footer="567" w:gutter="0"/>
          <w:cols w:space="720"/>
          <w:titlePg/>
          <w:docGrid w:linePitch="360"/>
        </w:sectPr>
      </w:pPr>
    </w:p>
    <w:p w14:paraId="1215485D" w14:textId="77777777" w:rsidR="00D579FB" w:rsidRPr="007F1439" w:rsidRDefault="0038767E" w:rsidP="00DC45C2">
      <w:pPr>
        <w:ind w:hanging="120"/>
        <w:rPr>
          <w:rFonts w:cs="Arial"/>
          <w:b/>
          <w:szCs w:val="20"/>
        </w:rPr>
      </w:pPr>
      <w:r w:rsidRPr="007F1439">
        <w:rPr>
          <w:rFonts w:cs="Arial"/>
          <w:b/>
          <w:szCs w:val="20"/>
        </w:rPr>
        <w:lastRenderedPageBreak/>
        <w:t>GESTION DEL MEDIO RURAL DE CANARIA</w:t>
      </w:r>
      <w:r w:rsidR="002312B9" w:rsidRPr="007F1439">
        <w:rPr>
          <w:rFonts w:cs="Arial"/>
          <w:b/>
          <w:szCs w:val="20"/>
        </w:rPr>
        <w:t>S</w:t>
      </w:r>
      <w:r w:rsidRPr="007F1439">
        <w:rPr>
          <w:rFonts w:cs="Arial"/>
          <w:b/>
          <w:szCs w:val="20"/>
        </w:rPr>
        <w:t>, S</w:t>
      </w:r>
      <w:r w:rsidR="005E1A22" w:rsidRPr="007F1439">
        <w:rPr>
          <w:rFonts w:cs="Arial"/>
          <w:b/>
          <w:szCs w:val="20"/>
        </w:rPr>
        <w:t>.A.</w:t>
      </w:r>
      <w:r w:rsidR="002312B9" w:rsidRPr="007F1439">
        <w:rPr>
          <w:rFonts w:cs="Arial"/>
          <w:b/>
          <w:szCs w:val="20"/>
        </w:rPr>
        <w:t xml:space="preserve"> Unipersonal</w:t>
      </w:r>
      <w:r w:rsidR="00990026" w:rsidRPr="007F1439">
        <w:rPr>
          <w:rFonts w:cs="Arial"/>
          <w:b/>
          <w:szCs w:val="20"/>
        </w:rPr>
        <w:t xml:space="preserve"> </w:t>
      </w:r>
    </w:p>
    <w:p w14:paraId="5585E26A" w14:textId="378F437C" w:rsidR="005B2E87" w:rsidRPr="007F1439" w:rsidRDefault="006030D0" w:rsidP="005B2E87">
      <w:pPr>
        <w:ind w:hanging="120"/>
        <w:jc w:val="left"/>
        <w:rPr>
          <w:rFonts w:cs="Arial"/>
          <w:b/>
          <w:szCs w:val="20"/>
        </w:rPr>
      </w:pPr>
      <w:bookmarkStart w:id="0" w:name="OLE_LINK1"/>
      <w:r w:rsidRPr="007F1439">
        <w:rPr>
          <w:rFonts w:cs="Arial"/>
          <w:b/>
          <w:szCs w:val="20"/>
        </w:rPr>
        <w:t>Balance</w:t>
      </w:r>
      <w:r w:rsidR="00EA3914" w:rsidRPr="007F1439">
        <w:rPr>
          <w:rFonts w:cs="Arial"/>
          <w:b/>
          <w:szCs w:val="20"/>
        </w:rPr>
        <w:t xml:space="preserve"> de situación</w:t>
      </w:r>
      <w:r w:rsidRPr="007F1439">
        <w:rPr>
          <w:rFonts w:cs="Arial"/>
          <w:b/>
          <w:szCs w:val="20"/>
        </w:rPr>
        <w:t xml:space="preserve"> </w:t>
      </w:r>
      <w:r w:rsidR="00906286" w:rsidRPr="007F1439">
        <w:rPr>
          <w:rFonts w:cs="Arial"/>
          <w:b/>
          <w:szCs w:val="20"/>
        </w:rPr>
        <w:t>a</w:t>
      </w:r>
      <w:r w:rsidRPr="007F1439">
        <w:rPr>
          <w:rFonts w:cs="Arial"/>
          <w:b/>
          <w:szCs w:val="20"/>
        </w:rPr>
        <w:t xml:space="preserve">l 31 de diciembre de </w:t>
      </w:r>
      <w:r w:rsidR="00CF42F5" w:rsidRPr="007F1439">
        <w:rPr>
          <w:rFonts w:cs="Arial"/>
          <w:b/>
          <w:szCs w:val="20"/>
        </w:rPr>
        <w:t>20</w:t>
      </w:r>
      <w:r w:rsidR="00EF4282">
        <w:rPr>
          <w:rFonts w:cs="Arial"/>
          <w:b/>
          <w:szCs w:val="20"/>
        </w:rPr>
        <w:t>2</w:t>
      </w:r>
      <w:r w:rsidR="00135A39">
        <w:rPr>
          <w:rFonts w:cs="Arial"/>
          <w:b/>
          <w:szCs w:val="20"/>
        </w:rPr>
        <w:t>4</w:t>
      </w:r>
      <w:r w:rsidR="005D023C">
        <w:rPr>
          <w:rFonts w:cs="Arial"/>
          <w:b/>
          <w:szCs w:val="20"/>
        </w:rPr>
        <w:tab/>
      </w:r>
    </w:p>
    <w:p w14:paraId="0C4BD30E" w14:textId="77777777" w:rsidR="00906286" w:rsidRPr="007F1439" w:rsidRDefault="006030D0" w:rsidP="00DC45C2">
      <w:pPr>
        <w:ind w:hanging="120"/>
        <w:jc w:val="left"/>
        <w:rPr>
          <w:rFonts w:cs="Arial"/>
          <w:b/>
          <w:sz w:val="16"/>
          <w:szCs w:val="16"/>
        </w:rPr>
      </w:pPr>
      <w:r w:rsidRPr="007F1439">
        <w:rPr>
          <w:rFonts w:cs="Arial"/>
          <w:b/>
          <w:sz w:val="16"/>
          <w:szCs w:val="16"/>
        </w:rPr>
        <w:t>(Expresado</w:t>
      </w:r>
      <w:r w:rsidR="003920BA" w:rsidRPr="007F1439">
        <w:rPr>
          <w:rFonts w:cs="Arial"/>
          <w:b/>
          <w:sz w:val="16"/>
          <w:szCs w:val="16"/>
        </w:rPr>
        <w:t xml:space="preserve"> en</w:t>
      </w:r>
      <w:r w:rsidR="00906286" w:rsidRPr="007F1439">
        <w:rPr>
          <w:rFonts w:cs="Arial"/>
          <w:b/>
          <w:sz w:val="16"/>
          <w:szCs w:val="16"/>
        </w:rPr>
        <w:t xml:space="preserve"> euros)</w:t>
      </w:r>
    </w:p>
    <w:p w14:paraId="53EC6BB1" w14:textId="77777777" w:rsidR="00FB485D" w:rsidRPr="007E79B2" w:rsidRDefault="00FB485D" w:rsidP="00DC45C2">
      <w:pPr>
        <w:ind w:hanging="120"/>
        <w:jc w:val="left"/>
        <w:rPr>
          <w:rFonts w:cs="Arial"/>
          <w:b/>
          <w:sz w:val="16"/>
          <w:szCs w:val="16"/>
          <w:highlight w:val="yellow"/>
        </w:rPr>
      </w:pPr>
    </w:p>
    <w:p w14:paraId="2FEC5A91" w14:textId="77777777" w:rsidR="00FB485D" w:rsidRPr="007E79B2" w:rsidRDefault="00FB485D" w:rsidP="00DC45C2">
      <w:pPr>
        <w:ind w:hanging="120"/>
        <w:jc w:val="left"/>
        <w:rPr>
          <w:rFonts w:cs="Arial"/>
          <w:b/>
          <w:sz w:val="16"/>
          <w:szCs w:val="16"/>
          <w:highlight w:val="yellow"/>
        </w:rPr>
      </w:pPr>
    </w:p>
    <w:p w14:paraId="195B2A6B" w14:textId="77777777" w:rsidR="00FB485D" w:rsidRPr="007E79B2" w:rsidRDefault="00FB485D" w:rsidP="00DC45C2">
      <w:pPr>
        <w:ind w:hanging="120"/>
        <w:jc w:val="left"/>
        <w:rPr>
          <w:rFonts w:cs="Arial"/>
          <w:b/>
          <w:sz w:val="16"/>
          <w:szCs w:val="16"/>
          <w:highlight w:val="yellow"/>
        </w:rPr>
      </w:pPr>
    </w:p>
    <w:bookmarkStart w:id="1" w:name="_MON_1547881831"/>
    <w:bookmarkStart w:id="2" w:name="_MON_1390384865"/>
    <w:bookmarkEnd w:id="1"/>
    <w:bookmarkEnd w:id="2"/>
    <w:bookmarkStart w:id="3" w:name="_MON_1391584593"/>
    <w:bookmarkEnd w:id="3"/>
    <w:p w14:paraId="5977181F" w14:textId="4A844881" w:rsidR="00F503CA" w:rsidRPr="001D6414" w:rsidRDefault="00825E9F" w:rsidP="0050426D">
      <w:pPr>
        <w:ind w:hanging="120"/>
        <w:jc w:val="center"/>
        <w:rPr>
          <w:rFonts w:cs="Arial"/>
          <w:b/>
          <w:sz w:val="16"/>
          <w:szCs w:val="16"/>
        </w:rPr>
      </w:pPr>
      <w:r w:rsidRPr="001D6414">
        <w:rPr>
          <w:rFonts w:cs="Arial"/>
          <w:b/>
          <w:sz w:val="16"/>
          <w:szCs w:val="16"/>
        </w:rPr>
        <w:object w:dxaOrig="9384" w:dyaOrig="9303" w14:anchorId="71FF6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461pt" o:ole="">
            <v:imagedata r:id="rId9" o:title=""/>
          </v:shape>
          <o:OLEObject Type="Embed" ProgID="Excel.Sheet.8" ShapeID="_x0000_i1025" DrawAspect="Content" ObjectID="_1805087261" r:id="rId10"/>
        </w:object>
      </w:r>
    </w:p>
    <w:bookmarkEnd w:id="0"/>
    <w:p w14:paraId="48E54184" w14:textId="77777777" w:rsidR="00662AE8" w:rsidRPr="001D6414" w:rsidRDefault="00662AE8" w:rsidP="0038767E">
      <w:pPr>
        <w:ind w:left="-120"/>
        <w:rPr>
          <w:rFonts w:cs="Arial"/>
          <w:b/>
          <w:bCs/>
          <w:szCs w:val="20"/>
        </w:rPr>
      </w:pPr>
    </w:p>
    <w:p w14:paraId="1E0F4025" w14:textId="77777777" w:rsidR="00662AE8" w:rsidRPr="001D6414" w:rsidRDefault="00662AE8" w:rsidP="0038767E">
      <w:pPr>
        <w:ind w:left="-120"/>
        <w:rPr>
          <w:rFonts w:cs="Arial"/>
          <w:b/>
          <w:bCs/>
          <w:szCs w:val="20"/>
        </w:rPr>
      </w:pPr>
    </w:p>
    <w:p w14:paraId="4A1C8117" w14:textId="77777777" w:rsidR="00D579FB" w:rsidRPr="007F1439" w:rsidRDefault="004720C9" w:rsidP="0038767E">
      <w:pPr>
        <w:ind w:left="-120"/>
        <w:rPr>
          <w:rFonts w:cs="Arial"/>
          <w:b/>
          <w:szCs w:val="20"/>
        </w:rPr>
      </w:pPr>
      <w:r w:rsidRPr="007E79B2">
        <w:rPr>
          <w:rFonts w:cs="Arial"/>
          <w:b/>
          <w:bCs/>
          <w:szCs w:val="20"/>
          <w:highlight w:val="yellow"/>
        </w:rPr>
        <w:br w:type="page"/>
      </w:r>
      <w:r w:rsidR="0036594C" w:rsidRPr="007F1439">
        <w:rPr>
          <w:rFonts w:cs="Arial"/>
          <w:b/>
          <w:szCs w:val="20"/>
        </w:rPr>
        <w:lastRenderedPageBreak/>
        <w:t>GESTION DEL MEDIO RURAL DE CANARIAS</w:t>
      </w:r>
      <w:r w:rsidR="00D579FB" w:rsidRPr="007F1439">
        <w:rPr>
          <w:rFonts w:cs="Arial"/>
          <w:b/>
          <w:szCs w:val="20"/>
        </w:rPr>
        <w:t>, S.A.</w:t>
      </w:r>
      <w:r w:rsidR="0036594C" w:rsidRPr="007F1439">
        <w:rPr>
          <w:rFonts w:cs="Arial"/>
          <w:b/>
          <w:szCs w:val="20"/>
        </w:rPr>
        <w:t xml:space="preserve"> Unipersonal</w:t>
      </w:r>
      <w:r w:rsidR="00990026" w:rsidRPr="007F1439">
        <w:rPr>
          <w:rFonts w:cs="Arial"/>
          <w:b/>
          <w:szCs w:val="20"/>
        </w:rPr>
        <w:t xml:space="preserve"> </w:t>
      </w:r>
    </w:p>
    <w:p w14:paraId="42912B4B" w14:textId="7DDE09CB" w:rsidR="005B0FDA" w:rsidRPr="007F1439" w:rsidRDefault="00E32EF7" w:rsidP="00F503CA">
      <w:pPr>
        <w:ind w:hanging="120"/>
        <w:jc w:val="left"/>
        <w:rPr>
          <w:rFonts w:cs="Arial"/>
          <w:b/>
          <w:szCs w:val="20"/>
        </w:rPr>
      </w:pPr>
      <w:r w:rsidRPr="007F1439">
        <w:rPr>
          <w:rFonts w:cs="Arial"/>
          <w:b/>
          <w:szCs w:val="20"/>
        </w:rPr>
        <w:t xml:space="preserve">Balance </w:t>
      </w:r>
      <w:r w:rsidR="002312B9" w:rsidRPr="007F1439">
        <w:rPr>
          <w:rFonts w:cs="Arial"/>
          <w:b/>
          <w:szCs w:val="20"/>
        </w:rPr>
        <w:t xml:space="preserve">de situación </w:t>
      </w:r>
      <w:r w:rsidRPr="007F1439">
        <w:rPr>
          <w:rFonts w:cs="Arial"/>
          <w:b/>
          <w:szCs w:val="20"/>
        </w:rPr>
        <w:t>al 31 de diciembre de 20</w:t>
      </w:r>
      <w:r w:rsidR="00EC37C7">
        <w:rPr>
          <w:rFonts w:cs="Arial"/>
          <w:b/>
          <w:szCs w:val="20"/>
        </w:rPr>
        <w:t>2</w:t>
      </w:r>
      <w:r w:rsidR="00135A39">
        <w:rPr>
          <w:rFonts w:cs="Arial"/>
          <w:b/>
          <w:szCs w:val="20"/>
        </w:rPr>
        <w:t>4</w:t>
      </w:r>
    </w:p>
    <w:p w14:paraId="5636B137" w14:textId="77777777" w:rsidR="005B0FDA" w:rsidRPr="007F1439" w:rsidRDefault="00E32EF7" w:rsidP="00F503CA">
      <w:pPr>
        <w:ind w:hanging="120"/>
        <w:jc w:val="left"/>
        <w:rPr>
          <w:rFonts w:cs="Arial"/>
          <w:b/>
          <w:sz w:val="16"/>
          <w:szCs w:val="16"/>
        </w:rPr>
      </w:pPr>
      <w:r w:rsidRPr="007F1439">
        <w:rPr>
          <w:rFonts w:cs="Arial"/>
          <w:b/>
          <w:sz w:val="16"/>
          <w:szCs w:val="16"/>
        </w:rPr>
        <w:t>(Expresado</w:t>
      </w:r>
      <w:r w:rsidR="003920BA" w:rsidRPr="007F1439">
        <w:rPr>
          <w:rFonts w:cs="Arial"/>
          <w:b/>
          <w:sz w:val="16"/>
          <w:szCs w:val="16"/>
        </w:rPr>
        <w:t xml:space="preserve"> en</w:t>
      </w:r>
      <w:r w:rsidR="005B0FDA" w:rsidRPr="007F1439">
        <w:rPr>
          <w:rFonts w:cs="Arial"/>
          <w:b/>
          <w:sz w:val="16"/>
          <w:szCs w:val="16"/>
        </w:rPr>
        <w:t xml:space="preserve"> euros)</w:t>
      </w:r>
    </w:p>
    <w:p w14:paraId="0B396413" w14:textId="77777777" w:rsidR="00FB485D" w:rsidRPr="007F1439" w:rsidRDefault="00FB485D" w:rsidP="00F503CA">
      <w:pPr>
        <w:ind w:hanging="120"/>
        <w:jc w:val="left"/>
        <w:rPr>
          <w:rFonts w:cs="Arial"/>
          <w:b/>
          <w:sz w:val="16"/>
          <w:szCs w:val="16"/>
        </w:rPr>
      </w:pPr>
    </w:p>
    <w:p w14:paraId="33C0DF41" w14:textId="77777777" w:rsidR="00662AE8" w:rsidRDefault="00662AE8" w:rsidP="00F503CA">
      <w:pPr>
        <w:ind w:hanging="120"/>
        <w:jc w:val="left"/>
        <w:rPr>
          <w:rFonts w:cs="Arial"/>
          <w:b/>
          <w:sz w:val="16"/>
          <w:szCs w:val="16"/>
        </w:rPr>
      </w:pPr>
    </w:p>
    <w:p w14:paraId="09419CDB" w14:textId="77777777" w:rsidR="00A30381" w:rsidRPr="007F1439" w:rsidRDefault="00A30381" w:rsidP="00F503CA">
      <w:pPr>
        <w:ind w:hanging="120"/>
        <w:jc w:val="left"/>
        <w:rPr>
          <w:rFonts w:cs="Arial"/>
          <w:b/>
          <w:sz w:val="16"/>
          <w:szCs w:val="16"/>
        </w:rPr>
      </w:pPr>
    </w:p>
    <w:bookmarkStart w:id="4" w:name="_MON_1612327788"/>
    <w:bookmarkEnd w:id="4"/>
    <w:p w14:paraId="352B21AD" w14:textId="2DAE99E6" w:rsidR="00662AE8" w:rsidRPr="007F1439" w:rsidRDefault="009F37DB" w:rsidP="00A30381">
      <w:pPr>
        <w:ind w:hanging="120"/>
        <w:jc w:val="center"/>
        <w:rPr>
          <w:rFonts w:cs="Arial"/>
          <w:b/>
          <w:sz w:val="16"/>
          <w:szCs w:val="16"/>
        </w:rPr>
      </w:pPr>
      <w:r w:rsidRPr="00527826">
        <w:rPr>
          <w:rFonts w:cs="Arial"/>
          <w:b/>
          <w:sz w:val="16"/>
          <w:szCs w:val="16"/>
        </w:rPr>
        <w:object w:dxaOrig="9435" w:dyaOrig="7537" w14:anchorId="6DBF9715">
          <v:shape id="_x0000_i1026" type="#_x0000_t75" style="width:451.65pt;height:5in" o:ole="">
            <v:imagedata r:id="rId11" o:title=""/>
          </v:shape>
          <o:OLEObject Type="Embed" ProgID="Excel.Sheet.8" ShapeID="_x0000_i1026" DrawAspect="Content" ObjectID="_1805087262" r:id="rId12"/>
        </w:object>
      </w:r>
    </w:p>
    <w:p w14:paraId="52B7B274" w14:textId="77777777" w:rsidR="00FB485D" w:rsidRPr="007F1439" w:rsidRDefault="00FB485D" w:rsidP="00F503CA">
      <w:pPr>
        <w:ind w:hanging="120"/>
        <w:jc w:val="left"/>
        <w:rPr>
          <w:rFonts w:cs="Arial"/>
          <w:b/>
          <w:sz w:val="16"/>
          <w:szCs w:val="16"/>
        </w:rPr>
      </w:pPr>
    </w:p>
    <w:p w14:paraId="6C45E65A" w14:textId="77777777" w:rsidR="00FB485D" w:rsidRPr="007F1439" w:rsidRDefault="00FB485D" w:rsidP="0050426D">
      <w:pPr>
        <w:ind w:hanging="120"/>
        <w:jc w:val="center"/>
        <w:rPr>
          <w:rFonts w:cs="Arial"/>
          <w:b/>
          <w:sz w:val="16"/>
          <w:szCs w:val="16"/>
        </w:rPr>
      </w:pPr>
      <w:bookmarkStart w:id="5" w:name="_MON_1391584609"/>
      <w:bookmarkEnd w:id="5"/>
    </w:p>
    <w:p w14:paraId="50A2FF35" w14:textId="77777777" w:rsidR="00FB485D" w:rsidRPr="007F1439" w:rsidRDefault="00FB485D" w:rsidP="00F503CA">
      <w:pPr>
        <w:ind w:hanging="120"/>
        <w:jc w:val="left"/>
        <w:rPr>
          <w:rFonts w:cs="Arial"/>
          <w:b/>
          <w:sz w:val="16"/>
          <w:szCs w:val="16"/>
        </w:rPr>
      </w:pPr>
    </w:p>
    <w:p w14:paraId="18257F7B" w14:textId="77777777" w:rsidR="00FB485D" w:rsidRPr="007F1439" w:rsidRDefault="00FB485D" w:rsidP="00F503CA">
      <w:pPr>
        <w:ind w:hanging="120"/>
        <w:jc w:val="left"/>
        <w:rPr>
          <w:rFonts w:cs="Arial"/>
          <w:b/>
          <w:sz w:val="16"/>
          <w:szCs w:val="16"/>
        </w:rPr>
      </w:pPr>
    </w:p>
    <w:p w14:paraId="71984262" w14:textId="77777777" w:rsidR="00FB485D" w:rsidRPr="007E79B2" w:rsidRDefault="00FB485D" w:rsidP="00F503CA">
      <w:pPr>
        <w:ind w:hanging="120"/>
        <w:jc w:val="left"/>
        <w:rPr>
          <w:rFonts w:cs="Arial"/>
          <w:b/>
          <w:sz w:val="16"/>
          <w:szCs w:val="16"/>
          <w:highlight w:val="yellow"/>
        </w:rPr>
      </w:pPr>
    </w:p>
    <w:p w14:paraId="7937AC59" w14:textId="77777777" w:rsidR="00FB485D" w:rsidRPr="007E79B2" w:rsidRDefault="00FB485D" w:rsidP="00F503CA">
      <w:pPr>
        <w:ind w:hanging="120"/>
        <w:jc w:val="left"/>
        <w:rPr>
          <w:rFonts w:cs="Arial"/>
          <w:b/>
          <w:sz w:val="16"/>
          <w:szCs w:val="16"/>
          <w:highlight w:val="yellow"/>
        </w:rPr>
      </w:pPr>
    </w:p>
    <w:p w14:paraId="67DBD12F" w14:textId="77777777" w:rsidR="00F503CA" w:rsidRPr="007E79B2" w:rsidRDefault="00F503CA" w:rsidP="004663A1">
      <w:pPr>
        <w:ind w:left="-119"/>
        <w:jc w:val="right"/>
        <w:rPr>
          <w:rFonts w:cs="Arial"/>
          <w:b/>
          <w:sz w:val="16"/>
          <w:szCs w:val="16"/>
          <w:highlight w:val="yellow"/>
        </w:rPr>
      </w:pPr>
    </w:p>
    <w:p w14:paraId="76F4E5D7" w14:textId="77777777" w:rsidR="00D579FB" w:rsidRPr="00A36767" w:rsidRDefault="00F91F41" w:rsidP="00710604">
      <w:pPr>
        <w:rPr>
          <w:rFonts w:cs="Arial"/>
          <w:b/>
          <w:szCs w:val="20"/>
        </w:rPr>
      </w:pPr>
      <w:r w:rsidRPr="007E79B2">
        <w:rPr>
          <w:rFonts w:cs="Arial"/>
          <w:highlight w:val="yellow"/>
        </w:rPr>
        <w:br w:type="page"/>
      </w:r>
      <w:r w:rsidR="0036594C" w:rsidRPr="00A36767">
        <w:rPr>
          <w:rFonts w:cs="Arial"/>
          <w:b/>
          <w:szCs w:val="20"/>
        </w:rPr>
        <w:lastRenderedPageBreak/>
        <w:t xml:space="preserve">GESTION DEL MEDIO RURAL DE CANARIAS, S.A. Unipersonal </w:t>
      </w:r>
    </w:p>
    <w:p w14:paraId="2C226D48" w14:textId="618B7AC4" w:rsidR="00340EBB" w:rsidRPr="00A36767" w:rsidRDefault="00F55621" w:rsidP="0099406A">
      <w:pPr>
        <w:jc w:val="left"/>
        <w:rPr>
          <w:rFonts w:cs="Arial"/>
          <w:b/>
          <w:szCs w:val="20"/>
        </w:rPr>
      </w:pPr>
      <w:r w:rsidRPr="00A36767">
        <w:rPr>
          <w:rFonts w:cs="Arial"/>
          <w:b/>
          <w:szCs w:val="20"/>
        </w:rPr>
        <w:t>C</w:t>
      </w:r>
      <w:r w:rsidR="00E32EF7" w:rsidRPr="00A36767">
        <w:rPr>
          <w:rFonts w:cs="Arial"/>
          <w:b/>
          <w:szCs w:val="20"/>
        </w:rPr>
        <w:t>uenta</w:t>
      </w:r>
      <w:r w:rsidR="00716C30" w:rsidRPr="00A36767">
        <w:rPr>
          <w:rFonts w:cs="Arial"/>
          <w:b/>
          <w:szCs w:val="20"/>
        </w:rPr>
        <w:t xml:space="preserve"> de pérdi</w:t>
      </w:r>
      <w:r w:rsidR="00AE5879" w:rsidRPr="00A36767">
        <w:rPr>
          <w:rFonts w:cs="Arial"/>
          <w:b/>
          <w:szCs w:val="20"/>
        </w:rPr>
        <w:t xml:space="preserve">das y </w:t>
      </w:r>
      <w:r w:rsidR="00536B8D" w:rsidRPr="00A36767">
        <w:rPr>
          <w:rFonts w:cs="Arial"/>
          <w:b/>
          <w:szCs w:val="20"/>
        </w:rPr>
        <w:t xml:space="preserve">ganancias </w:t>
      </w:r>
      <w:r w:rsidR="00A12336">
        <w:rPr>
          <w:rFonts w:cs="Arial"/>
          <w:b/>
          <w:szCs w:val="20"/>
        </w:rPr>
        <w:t xml:space="preserve">abreviada </w:t>
      </w:r>
      <w:r w:rsidR="00536B8D" w:rsidRPr="00A36767">
        <w:rPr>
          <w:rFonts w:cs="Arial"/>
          <w:b/>
          <w:szCs w:val="20"/>
        </w:rPr>
        <w:t>correspondientes</w:t>
      </w:r>
      <w:r w:rsidR="00716C30" w:rsidRPr="00A36767">
        <w:rPr>
          <w:rFonts w:cs="Arial"/>
          <w:b/>
          <w:szCs w:val="20"/>
        </w:rPr>
        <w:t xml:space="preserve"> </w:t>
      </w:r>
      <w:r w:rsidR="00E32EF7" w:rsidRPr="00A36767">
        <w:rPr>
          <w:rFonts w:cs="Arial"/>
          <w:b/>
          <w:szCs w:val="20"/>
        </w:rPr>
        <w:t>al ejercicio anual terminado</w:t>
      </w:r>
      <w:r w:rsidR="00716C30" w:rsidRPr="00A36767">
        <w:rPr>
          <w:rFonts w:cs="Arial"/>
          <w:b/>
          <w:szCs w:val="20"/>
        </w:rPr>
        <w:t xml:space="preserve"> el 31 de diciembre de 20</w:t>
      </w:r>
      <w:r w:rsidR="00340EBB">
        <w:rPr>
          <w:rFonts w:cs="Arial"/>
          <w:b/>
          <w:szCs w:val="20"/>
        </w:rPr>
        <w:t>2</w:t>
      </w:r>
      <w:r w:rsidR="00135A39">
        <w:rPr>
          <w:rFonts w:cs="Arial"/>
          <w:b/>
          <w:szCs w:val="20"/>
        </w:rPr>
        <w:t>4</w:t>
      </w:r>
    </w:p>
    <w:p w14:paraId="3FC72684" w14:textId="77777777" w:rsidR="00716C30" w:rsidRPr="00A36767" w:rsidRDefault="00716C30" w:rsidP="0099406A">
      <w:pPr>
        <w:jc w:val="left"/>
        <w:rPr>
          <w:rFonts w:cs="Arial"/>
          <w:b/>
          <w:sz w:val="16"/>
          <w:szCs w:val="16"/>
        </w:rPr>
      </w:pPr>
      <w:r w:rsidRPr="00A36767">
        <w:rPr>
          <w:rFonts w:cs="Arial"/>
          <w:b/>
          <w:sz w:val="16"/>
          <w:szCs w:val="16"/>
        </w:rPr>
        <w:t>(Expres</w:t>
      </w:r>
      <w:r w:rsidR="00C37120" w:rsidRPr="00A36767">
        <w:rPr>
          <w:rFonts w:cs="Arial"/>
          <w:b/>
          <w:sz w:val="16"/>
          <w:szCs w:val="16"/>
        </w:rPr>
        <w:t>ad</w:t>
      </w:r>
      <w:r w:rsidR="00E32EF7" w:rsidRPr="00A36767">
        <w:rPr>
          <w:rFonts w:cs="Arial"/>
          <w:b/>
          <w:sz w:val="16"/>
          <w:szCs w:val="16"/>
        </w:rPr>
        <w:t>a</w:t>
      </w:r>
      <w:r w:rsidR="003920BA" w:rsidRPr="00A36767">
        <w:rPr>
          <w:rFonts w:cs="Arial"/>
          <w:b/>
          <w:sz w:val="16"/>
          <w:szCs w:val="16"/>
        </w:rPr>
        <w:t xml:space="preserve"> en</w:t>
      </w:r>
      <w:r w:rsidRPr="00A36767">
        <w:rPr>
          <w:rFonts w:cs="Arial"/>
          <w:b/>
          <w:sz w:val="16"/>
          <w:szCs w:val="16"/>
        </w:rPr>
        <w:t xml:space="preserve"> euros)</w:t>
      </w:r>
    </w:p>
    <w:p w14:paraId="561D7B1B" w14:textId="77777777" w:rsidR="00FB485D" w:rsidRPr="00A36767" w:rsidRDefault="00FB485D" w:rsidP="0099406A">
      <w:pPr>
        <w:jc w:val="left"/>
        <w:rPr>
          <w:rFonts w:cs="Arial"/>
          <w:b/>
          <w:sz w:val="16"/>
          <w:szCs w:val="16"/>
        </w:rPr>
      </w:pPr>
    </w:p>
    <w:p w14:paraId="1977A7C1" w14:textId="756FC98F" w:rsidR="003E3202" w:rsidRDefault="003E3202" w:rsidP="0099406A">
      <w:pPr>
        <w:jc w:val="left"/>
        <w:rPr>
          <w:rFonts w:cs="Arial"/>
          <w:b/>
          <w:sz w:val="16"/>
          <w:szCs w:val="16"/>
        </w:rPr>
      </w:pPr>
    </w:p>
    <w:p w14:paraId="5C946404" w14:textId="77777777" w:rsidR="00300D6C" w:rsidRDefault="00300D6C" w:rsidP="0099406A">
      <w:pPr>
        <w:jc w:val="left"/>
        <w:rPr>
          <w:rFonts w:cs="Arial"/>
          <w:b/>
          <w:sz w:val="16"/>
          <w:szCs w:val="16"/>
        </w:rPr>
      </w:pPr>
    </w:p>
    <w:bookmarkStart w:id="6" w:name="_MON_1612326519"/>
    <w:bookmarkEnd w:id="6"/>
    <w:p w14:paraId="1E6B512F" w14:textId="2E86E567" w:rsidR="003E3202" w:rsidRPr="00A36767" w:rsidRDefault="00825E9F" w:rsidP="003E3202">
      <w:pPr>
        <w:jc w:val="center"/>
        <w:rPr>
          <w:rFonts w:cs="Arial"/>
          <w:b/>
          <w:sz w:val="16"/>
          <w:szCs w:val="16"/>
        </w:rPr>
      </w:pPr>
      <w:r w:rsidRPr="00527826">
        <w:rPr>
          <w:rFonts w:cs="Arial"/>
          <w:b/>
          <w:sz w:val="16"/>
          <w:szCs w:val="16"/>
        </w:rPr>
        <w:object w:dxaOrig="11463" w:dyaOrig="5310" w14:anchorId="6A13E1F5">
          <v:shape id="_x0000_i1027" type="#_x0000_t75" style="width:468.45pt;height:231.9pt" o:ole="">
            <v:imagedata r:id="rId13" o:title=""/>
          </v:shape>
          <o:OLEObject Type="Embed" ProgID="Excel.Sheet.8" ShapeID="_x0000_i1027" DrawAspect="Content" ObjectID="_1805087263" r:id="rId14"/>
        </w:object>
      </w:r>
    </w:p>
    <w:p w14:paraId="16164926" w14:textId="77777777" w:rsidR="00FB485D" w:rsidRPr="00A36767" w:rsidRDefault="00FB485D" w:rsidP="0050426D">
      <w:pPr>
        <w:jc w:val="center"/>
        <w:rPr>
          <w:rFonts w:cs="Arial"/>
          <w:b/>
          <w:sz w:val="16"/>
          <w:szCs w:val="16"/>
        </w:rPr>
      </w:pPr>
      <w:bookmarkStart w:id="7" w:name="_MON_1391584629"/>
      <w:bookmarkEnd w:id="7"/>
    </w:p>
    <w:p w14:paraId="7000FECF" w14:textId="77777777" w:rsidR="00FB485D" w:rsidRPr="00A36767" w:rsidRDefault="00FB485D" w:rsidP="0099406A">
      <w:pPr>
        <w:jc w:val="left"/>
        <w:rPr>
          <w:rFonts w:cs="Arial"/>
          <w:b/>
          <w:sz w:val="16"/>
          <w:szCs w:val="16"/>
        </w:rPr>
      </w:pPr>
    </w:p>
    <w:p w14:paraId="713C3A64" w14:textId="77777777" w:rsidR="00FB485D" w:rsidRPr="00A36767" w:rsidRDefault="00FB485D" w:rsidP="0099406A">
      <w:pPr>
        <w:jc w:val="left"/>
        <w:rPr>
          <w:rFonts w:cs="Arial"/>
          <w:b/>
          <w:sz w:val="16"/>
          <w:szCs w:val="16"/>
        </w:rPr>
      </w:pPr>
    </w:p>
    <w:p w14:paraId="2E98FD73" w14:textId="77777777" w:rsidR="00FB485D" w:rsidRPr="00A36767" w:rsidRDefault="00FB485D" w:rsidP="0099406A">
      <w:pPr>
        <w:jc w:val="left"/>
        <w:rPr>
          <w:rFonts w:cs="Arial"/>
          <w:b/>
          <w:sz w:val="16"/>
          <w:szCs w:val="16"/>
        </w:rPr>
      </w:pPr>
    </w:p>
    <w:p w14:paraId="3E3FE6A4" w14:textId="77777777" w:rsidR="00FB485D" w:rsidRPr="007E79B2" w:rsidRDefault="00FB485D" w:rsidP="0099406A">
      <w:pPr>
        <w:jc w:val="left"/>
        <w:rPr>
          <w:rFonts w:cs="Arial"/>
          <w:b/>
          <w:sz w:val="16"/>
          <w:szCs w:val="16"/>
          <w:highlight w:val="yellow"/>
        </w:rPr>
      </w:pPr>
    </w:p>
    <w:p w14:paraId="347FEE75" w14:textId="77777777" w:rsidR="00042AAA" w:rsidRPr="007E79B2" w:rsidRDefault="00042AAA" w:rsidP="000D12ED">
      <w:pPr>
        <w:jc w:val="right"/>
        <w:rPr>
          <w:rFonts w:cs="Arial"/>
          <w:sz w:val="16"/>
          <w:szCs w:val="16"/>
          <w:highlight w:val="yellow"/>
        </w:rPr>
      </w:pPr>
    </w:p>
    <w:p w14:paraId="2AEBBFEB" w14:textId="77777777" w:rsidR="00F55621" w:rsidRPr="00D750B3" w:rsidRDefault="00276F54" w:rsidP="001D1C77">
      <w:pPr>
        <w:jc w:val="left"/>
        <w:rPr>
          <w:rFonts w:cs="Arial"/>
          <w:szCs w:val="20"/>
        </w:rPr>
      </w:pPr>
      <w:r w:rsidRPr="007E79B2">
        <w:rPr>
          <w:rFonts w:cs="Arial"/>
          <w:highlight w:val="yellow"/>
        </w:rPr>
        <w:br w:type="page"/>
      </w:r>
      <w:r w:rsidR="0036594C" w:rsidRPr="00D750B3">
        <w:rPr>
          <w:rFonts w:cs="Arial"/>
          <w:b/>
          <w:szCs w:val="20"/>
        </w:rPr>
        <w:lastRenderedPageBreak/>
        <w:t>GESTION DEL MEDIO RURAL DE CANARIAS, S.A. Unipersonal</w:t>
      </w:r>
    </w:p>
    <w:p w14:paraId="312E63CD" w14:textId="55D43B1F" w:rsidR="003428C3" w:rsidRPr="00D750B3" w:rsidRDefault="00E32EF7" w:rsidP="0099406A">
      <w:pPr>
        <w:jc w:val="left"/>
        <w:rPr>
          <w:rFonts w:cs="Arial"/>
          <w:b/>
          <w:szCs w:val="20"/>
        </w:rPr>
      </w:pPr>
      <w:r w:rsidRPr="00CC3DB0">
        <w:rPr>
          <w:rFonts w:cs="Arial"/>
          <w:b/>
          <w:szCs w:val="20"/>
        </w:rPr>
        <w:t xml:space="preserve">Estado de cambios </w:t>
      </w:r>
      <w:r w:rsidR="00373811" w:rsidRPr="00CC3DB0">
        <w:rPr>
          <w:rFonts w:cs="Arial"/>
          <w:b/>
          <w:szCs w:val="20"/>
        </w:rPr>
        <w:t xml:space="preserve">en el </w:t>
      </w:r>
      <w:r w:rsidRPr="00CC3DB0">
        <w:rPr>
          <w:rFonts w:cs="Arial"/>
          <w:b/>
          <w:szCs w:val="20"/>
        </w:rPr>
        <w:t>patrimonio neto correspondiente</w:t>
      </w:r>
      <w:r w:rsidR="00373811" w:rsidRPr="00CC3DB0">
        <w:rPr>
          <w:rFonts w:cs="Arial"/>
          <w:b/>
          <w:szCs w:val="20"/>
        </w:rPr>
        <w:t xml:space="preserve"> </w:t>
      </w:r>
      <w:r w:rsidRPr="00CC3DB0">
        <w:rPr>
          <w:rFonts w:cs="Arial"/>
          <w:b/>
          <w:szCs w:val="20"/>
        </w:rPr>
        <w:t xml:space="preserve">al </w:t>
      </w:r>
      <w:r w:rsidR="003428C3" w:rsidRPr="00CC3DB0">
        <w:rPr>
          <w:rFonts w:cs="Arial"/>
          <w:b/>
          <w:szCs w:val="20"/>
        </w:rPr>
        <w:t>ejercicio anual terminado</w:t>
      </w:r>
      <w:r w:rsidR="003F6697" w:rsidRPr="00CC3DB0">
        <w:rPr>
          <w:rFonts w:cs="Arial"/>
          <w:b/>
          <w:szCs w:val="20"/>
        </w:rPr>
        <w:t xml:space="preserve"> el 31 de diciembre de 20</w:t>
      </w:r>
      <w:r w:rsidR="00D45B5C">
        <w:rPr>
          <w:rFonts w:cs="Arial"/>
          <w:b/>
          <w:szCs w:val="20"/>
        </w:rPr>
        <w:t>2</w:t>
      </w:r>
      <w:r w:rsidR="00135A39">
        <w:rPr>
          <w:rFonts w:cs="Arial"/>
          <w:b/>
          <w:szCs w:val="20"/>
        </w:rPr>
        <w:t>4</w:t>
      </w:r>
    </w:p>
    <w:p w14:paraId="5BB7899C" w14:textId="77777777" w:rsidR="00373811" w:rsidRPr="00D750B3" w:rsidRDefault="00AE5879" w:rsidP="0099406A">
      <w:pPr>
        <w:jc w:val="left"/>
        <w:rPr>
          <w:rFonts w:cs="Arial"/>
          <w:b/>
          <w:sz w:val="16"/>
          <w:szCs w:val="16"/>
        </w:rPr>
      </w:pPr>
      <w:r w:rsidRPr="00D750B3">
        <w:rPr>
          <w:rFonts w:cs="Arial"/>
          <w:b/>
          <w:sz w:val="16"/>
          <w:szCs w:val="16"/>
        </w:rPr>
        <w:t>(Expresado</w:t>
      </w:r>
      <w:r w:rsidR="003920BA" w:rsidRPr="00D750B3">
        <w:rPr>
          <w:rFonts w:cs="Arial"/>
          <w:b/>
          <w:sz w:val="16"/>
          <w:szCs w:val="16"/>
        </w:rPr>
        <w:t xml:space="preserve"> en</w:t>
      </w:r>
      <w:r w:rsidR="00373811" w:rsidRPr="00D750B3">
        <w:rPr>
          <w:rFonts w:cs="Arial"/>
          <w:b/>
          <w:sz w:val="16"/>
          <w:szCs w:val="16"/>
        </w:rPr>
        <w:t xml:space="preserve"> euros)</w:t>
      </w:r>
    </w:p>
    <w:p w14:paraId="2B271338" w14:textId="77777777" w:rsidR="00F55621" w:rsidRPr="00D750B3" w:rsidRDefault="00F55621" w:rsidP="0099406A">
      <w:pPr>
        <w:jc w:val="left"/>
        <w:rPr>
          <w:rFonts w:cs="Arial"/>
          <w:sz w:val="16"/>
          <w:szCs w:val="16"/>
        </w:rPr>
      </w:pPr>
    </w:p>
    <w:p w14:paraId="15191440" w14:textId="77777777" w:rsidR="00EF419E" w:rsidRPr="00D750B3" w:rsidRDefault="00EF419E" w:rsidP="0099406A">
      <w:pPr>
        <w:jc w:val="left"/>
        <w:rPr>
          <w:rFonts w:cs="Arial"/>
          <w:sz w:val="16"/>
          <w:szCs w:val="16"/>
        </w:rPr>
      </w:pPr>
    </w:p>
    <w:p w14:paraId="7E2AAAF8" w14:textId="22154602" w:rsidR="00E45740" w:rsidRPr="00CD3624" w:rsidRDefault="0099406A" w:rsidP="00DA1413">
      <w:pPr>
        <w:ind w:left="426" w:hanging="426"/>
        <w:jc w:val="left"/>
        <w:rPr>
          <w:rFonts w:cs="Arial"/>
          <w:b/>
          <w:szCs w:val="20"/>
        </w:rPr>
      </w:pPr>
      <w:r w:rsidRPr="00CD3624">
        <w:rPr>
          <w:rFonts w:cs="Arial"/>
          <w:b/>
          <w:szCs w:val="20"/>
        </w:rPr>
        <w:t>A)</w:t>
      </w:r>
      <w:r w:rsidRPr="00CD3624">
        <w:rPr>
          <w:rFonts w:cs="Arial"/>
          <w:b/>
          <w:szCs w:val="20"/>
        </w:rPr>
        <w:tab/>
      </w:r>
      <w:r w:rsidR="00E124EB" w:rsidRPr="00FE41BD">
        <w:rPr>
          <w:rFonts w:cs="Arial"/>
          <w:b/>
          <w:szCs w:val="20"/>
        </w:rPr>
        <w:t>Estado</w:t>
      </w:r>
      <w:r w:rsidR="00373811" w:rsidRPr="00FE41BD">
        <w:rPr>
          <w:rFonts w:cs="Arial"/>
          <w:b/>
          <w:szCs w:val="20"/>
        </w:rPr>
        <w:t xml:space="preserve"> de ingresos y gast</w:t>
      </w:r>
      <w:r w:rsidR="00E124EB" w:rsidRPr="00FE41BD">
        <w:rPr>
          <w:rFonts w:cs="Arial"/>
          <w:b/>
          <w:szCs w:val="20"/>
        </w:rPr>
        <w:t>os reconocidos correspondiente al ejercicio anual terminado</w:t>
      </w:r>
      <w:r w:rsidR="000C1768" w:rsidRPr="00FE41BD">
        <w:rPr>
          <w:rFonts w:cs="Arial"/>
          <w:b/>
          <w:szCs w:val="20"/>
        </w:rPr>
        <w:t xml:space="preserve"> el 31 de diciembre de 20</w:t>
      </w:r>
      <w:r w:rsidR="00D45B5C" w:rsidRPr="00FE41BD">
        <w:rPr>
          <w:rFonts w:cs="Arial"/>
          <w:b/>
          <w:szCs w:val="20"/>
        </w:rPr>
        <w:t>2</w:t>
      </w:r>
      <w:r w:rsidR="00135A39" w:rsidRPr="00FE41BD">
        <w:rPr>
          <w:rFonts w:cs="Arial"/>
          <w:b/>
          <w:szCs w:val="20"/>
        </w:rPr>
        <w:t>4</w:t>
      </w:r>
    </w:p>
    <w:p w14:paraId="45EDF67C" w14:textId="77777777" w:rsidR="00E45740" w:rsidRPr="00CD3624" w:rsidRDefault="00E45740" w:rsidP="00373811">
      <w:pPr>
        <w:jc w:val="right"/>
        <w:rPr>
          <w:rFonts w:cs="Arial"/>
          <w:sz w:val="16"/>
          <w:szCs w:val="16"/>
        </w:rPr>
      </w:pPr>
    </w:p>
    <w:p w14:paraId="5515DFC4" w14:textId="77777777" w:rsidR="00FB485D" w:rsidRPr="00CD3624" w:rsidRDefault="00FB485D" w:rsidP="00373811">
      <w:pPr>
        <w:jc w:val="right"/>
        <w:rPr>
          <w:rFonts w:cs="Arial"/>
          <w:sz w:val="16"/>
          <w:szCs w:val="16"/>
        </w:rPr>
      </w:pPr>
    </w:p>
    <w:tbl>
      <w:tblPr>
        <w:tblW w:w="9918" w:type="dxa"/>
        <w:jc w:val="center"/>
        <w:tblLook w:val="0000" w:firstRow="0" w:lastRow="0" w:firstColumn="0" w:lastColumn="0" w:noHBand="0" w:noVBand="0"/>
      </w:tblPr>
      <w:tblGrid>
        <w:gridCol w:w="6120"/>
        <w:gridCol w:w="661"/>
        <w:gridCol w:w="1880"/>
        <w:gridCol w:w="1257"/>
      </w:tblGrid>
      <w:tr w:rsidR="00EA381E" w:rsidRPr="00CD3624" w14:paraId="4EF53394"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4336518C" w14:textId="77777777" w:rsidR="00EA381E" w:rsidRPr="00CD3624" w:rsidRDefault="00EA381E" w:rsidP="00EA381E">
            <w:pPr>
              <w:rPr>
                <w:rFonts w:cs="Arial"/>
                <w:b/>
                <w:bCs/>
                <w:color w:val="000000"/>
                <w:sz w:val="16"/>
                <w:szCs w:val="16"/>
                <w:lang w:val="es-ES"/>
              </w:rPr>
            </w:pPr>
            <w:r w:rsidRPr="00CD3624">
              <w:rPr>
                <w:rFonts w:cs="Arial"/>
                <w:b/>
                <w:bCs/>
                <w:color w:val="000000"/>
                <w:sz w:val="16"/>
                <w:szCs w:val="16"/>
                <w:lang w:val="es-ES"/>
              </w:rPr>
              <w:t> </w:t>
            </w:r>
          </w:p>
        </w:tc>
        <w:tc>
          <w:tcPr>
            <w:tcW w:w="661" w:type="dxa"/>
            <w:tcBorders>
              <w:top w:val="single" w:sz="8" w:space="0" w:color="auto"/>
              <w:left w:val="nil"/>
              <w:bottom w:val="single" w:sz="8" w:space="0" w:color="auto"/>
              <w:right w:val="nil"/>
            </w:tcBorders>
            <w:shd w:val="clear" w:color="auto" w:fill="C0C0C0"/>
            <w:vAlign w:val="bottom"/>
          </w:tcPr>
          <w:p w14:paraId="15E33E8E"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Notas</w:t>
            </w:r>
          </w:p>
        </w:tc>
        <w:tc>
          <w:tcPr>
            <w:tcW w:w="1880" w:type="dxa"/>
            <w:tcBorders>
              <w:top w:val="single" w:sz="8" w:space="0" w:color="auto"/>
              <w:left w:val="nil"/>
              <w:bottom w:val="single" w:sz="8" w:space="0" w:color="auto"/>
              <w:right w:val="nil"/>
            </w:tcBorders>
            <w:shd w:val="clear" w:color="auto" w:fill="C0C0C0"/>
            <w:vAlign w:val="bottom"/>
          </w:tcPr>
          <w:p w14:paraId="49E38721" w14:textId="2B2756ED"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2.0</w:t>
            </w:r>
            <w:r>
              <w:rPr>
                <w:rFonts w:cs="Arial"/>
                <w:b/>
                <w:bCs/>
                <w:color w:val="000000"/>
                <w:sz w:val="16"/>
                <w:szCs w:val="16"/>
                <w:lang w:val="en-US"/>
              </w:rPr>
              <w:t>2</w:t>
            </w:r>
            <w:r w:rsidR="000B7B1B">
              <w:rPr>
                <w:rFonts w:cs="Arial"/>
                <w:b/>
                <w:bCs/>
                <w:color w:val="000000"/>
                <w:sz w:val="16"/>
                <w:szCs w:val="16"/>
                <w:lang w:val="en-US"/>
              </w:rPr>
              <w:t>4</w:t>
            </w:r>
          </w:p>
        </w:tc>
        <w:tc>
          <w:tcPr>
            <w:tcW w:w="1257" w:type="dxa"/>
            <w:tcBorders>
              <w:top w:val="single" w:sz="8" w:space="0" w:color="auto"/>
              <w:left w:val="nil"/>
              <w:bottom w:val="single" w:sz="8" w:space="0" w:color="auto"/>
              <w:right w:val="nil"/>
            </w:tcBorders>
            <w:shd w:val="clear" w:color="auto" w:fill="C0C0C0"/>
            <w:vAlign w:val="bottom"/>
          </w:tcPr>
          <w:p w14:paraId="330E2C60" w14:textId="43C1D5C3"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2.0</w:t>
            </w:r>
            <w:r>
              <w:rPr>
                <w:rFonts w:cs="Arial"/>
                <w:b/>
                <w:bCs/>
                <w:color w:val="000000"/>
                <w:sz w:val="16"/>
                <w:szCs w:val="16"/>
                <w:lang w:val="en-US"/>
              </w:rPr>
              <w:t>2</w:t>
            </w:r>
            <w:r w:rsidR="000B7B1B">
              <w:rPr>
                <w:rFonts w:cs="Arial"/>
                <w:b/>
                <w:bCs/>
                <w:color w:val="000000"/>
                <w:sz w:val="16"/>
                <w:szCs w:val="16"/>
                <w:lang w:val="en-US"/>
              </w:rPr>
              <w:t>3</w:t>
            </w:r>
          </w:p>
        </w:tc>
      </w:tr>
      <w:tr w:rsidR="00EA381E" w:rsidRPr="00CD3624" w14:paraId="76636A7D" w14:textId="77777777" w:rsidTr="00EA381E">
        <w:trPr>
          <w:trHeight w:val="315"/>
          <w:jc w:val="center"/>
        </w:trPr>
        <w:tc>
          <w:tcPr>
            <w:tcW w:w="6120" w:type="dxa"/>
            <w:tcBorders>
              <w:top w:val="nil"/>
              <w:left w:val="nil"/>
              <w:bottom w:val="single" w:sz="8" w:space="0" w:color="auto"/>
              <w:right w:val="nil"/>
            </w:tcBorders>
            <w:shd w:val="clear" w:color="auto" w:fill="FFFFFF"/>
            <w:noWrap/>
            <w:vAlign w:val="bottom"/>
          </w:tcPr>
          <w:p w14:paraId="2FC8A157" w14:textId="77777777" w:rsidR="00EA381E" w:rsidRPr="00CD3624" w:rsidRDefault="00EA381E" w:rsidP="00EA381E">
            <w:pPr>
              <w:rPr>
                <w:rFonts w:cs="Arial"/>
                <w:b/>
                <w:bCs/>
                <w:color w:val="000000"/>
                <w:sz w:val="16"/>
                <w:szCs w:val="16"/>
                <w:lang w:val="en-US"/>
              </w:rPr>
            </w:pPr>
            <w:r w:rsidRPr="00CD3624">
              <w:rPr>
                <w:rFonts w:cs="Arial"/>
                <w:b/>
                <w:bCs/>
                <w:color w:val="000000"/>
                <w:sz w:val="16"/>
                <w:szCs w:val="16"/>
                <w:lang w:val="en-US"/>
              </w:rPr>
              <w:t> </w:t>
            </w:r>
          </w:p>
        </w:tc>
        <w:tc>
          <w:tcPr>
            <w:tcW w:w="661" w:type="dxa"/>
            <w:tcBorders>
              <w:top w:val="nil"/>
              <w:left w:val="nil"/>
              <w:bottom w:val="single" w:sz="8" w:space="0" w:color="auto"/>
              <w:right w:val="nil"/>
            </w:tcBorders>
            <w:shd w:val="clear" w:color="auto" w:fill="FFFFFF"/>
            <w:vAlign w:val="bottom"/>
          </w:tcPr>
          <w:p w14:paraId="3EE241A6"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bottom w:val="single" w:sz="8" w:space="0" w:color="auto"/>
              <w:right w:val="nil"/>
            </w:tcBorders>
            <w:shd w:val="clear" w:color="auto" w:fill="FFFFFF"/>
            <w:vAlign w:val="bottom"/>
          </w:tcPr>
          <w:p w14:paraId="08FD5C3E"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bottom w:val="single" w:sz="8" w:space="0" w:color="auto"/>
              <w:right w:val="nil"/>
            </w:tcBorders>
            <w:shd w:val="clear" w:color="auto" w:fill="FFFFFF"/>
            <w:vAlign w:val="bottom"/>
          </w:tcPr>
          <w:p w14:paraId="5FF071E2" w14:textId="60719F44"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r>
      <w:tr w:rsidR="00EA381E" w:rsidRPr="00CD3624" w14:paraId="3E33D4C9" w14:textId="77777777" w:rsidTr="00EA381E">
        <w:trPr>
          <w:trHeight w:val="315"/>
          <w:jc w:val="center"/>
        </w:trPr>
        <w:tc>
          <w:tcPr>
            <w:tcW w:w="6120" w:type="dxa"/>
            <w:tcBorders>
              <w:top w:val="nil"/>
              <w:left w:val="nil"/>
              <w:bottom w:val="single" w:sz="8" w:space="0" w:color="auto"/>
              <w:right w:val="nil"/>
            </w:tcBorders>
            <w:shd w:val="clear" w:color="auto" w:fill="C0C0C0"/>
            <w:noWrap/>
            <w:vAlign w:val="bottom"/>
          </w:tcPr>
          <w:p w14:paraId="5EF9252F"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Resultado de la cuenta de pérdidas y ganancias</w:t>
            </w:r>
          </w:p>
        </w:tc>
        <w:tc>
          <w:tcPr>
            <w:tcW w:w="661" w:type="dxa"/>
            <w:tcBorders>
              <w:top w:val="nil"/>
              <w:left w:val="nil"/>
              <w:bottom w:val="single" w:sz="8" w:space="0" w:color="auto"/>
              <w:right w:val="nil"/>
            </w:tcBorders>
            <w:shd w:val="clear" w:color="auto" w:fill="C0C0C0"/>
            <w:vAlign w:val="bottom"/>
          </w:tcPr>
          <w:p w14:paraId="17146BF2"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bottom w:val="single" w:sz="8" w:space="0" w:color="auto"/>
              <w:right w:val="nil"/>
            </w:tcBorders>
            <w:shd w:val="clear" w:color="auto" w:fill="C0C0C0"/>
            <w:vAlign w:val="bottom"/>
          </w:tcPr>
          <w:p w14:paraId="057DDDA9" w14:textId="7A7135DA"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0B7B1B">
              <w:rPr>
                <w:rFonts w:cs="Arial"/>
                <w:b/>
                <w:bCs/>
                <w:sz w:val="16"/>
                <w:szCs w:val="16"/>
                <w:lang w:val="en-US"/>
              </w:rPr>
              <w:t>3.987.780,52</w:t>
            </w:r>
            <w:r w:rsidRPr="00CD3624">
              <w:rPr>
                <w:rFonts w:cs="Arial"/>
                <w:b/>
                <w:bCs/>
                <w:sz w:val="16"/>
                <w:szCs w:val="16"/>
                <w:lang w:val="en-US"/>
              </w:rPr>
              <w:t>)</w:t>
            </w:r>
          </w:p>
        </w:tc>
        <w:tc>
          <w:tcPr>
            <w:tcW w:w="1257" w:type="dxa"/>
            <w:tcBorders>
              <w:top w:val="nil"/>
              <w:left w:val="nil"/>
              <w:bottom w:val="single" w:sz="8" w:space="0" w:color="auto"/>
              <w:right w:val="nil"/>
            </w:tcBorders>
            <w:shd w:val="clear" w:color="auto" w:fill="C0C0C0"/>
            <w:vAlign w:val="bottom"/>
          </w:tcPr>
          <w:p w14:paraId="1315A5DE" w14:textId="377B31D2"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FB6ED0">
              <w:rPr>
                <w:rFonts w:cs="Arial"/>
                <w:b/>
                <w:bCs/>
                <w:sz w:val="16"/>
                <w:szCs w:val="16"/>
                <w:lang w:val="en-US"/>
              </w:rPr>
              <w:t>5.</w:t>
            </w:r>
            <w:r w:rsidR="000B7B1B">
              <w:rPr>
                <w:rFonts w:cs="Arial"/>
                <w:b/>
                <w:bCs/>
                <w:sz w:val="16"/>
                <w:szCs w:val="16"/>
                <w:lang w:val="en-US"/>
              </w:rPr>
              <w:t>511.161,62</w:t>
            </w:r>
            <w:r w:rsidRPr="00CD3624">
              <w:rPr>
                <w:rFonts w:cs="Arial"/>
                <w:b/>
                <w:bCs/>
                <w:sz w:val="16"/>
                <w:szCs w:val="16"/>
                <w:lang w:val="en-US"/>
              </w:rPr>
              <w:t>)</w:t>
            </w:r>
          </w:p>
        </w:tc>
      </w:tr>
      <w:tr w:rsidR="00EA381E" w:rsidRPr="00CD3624" w14:paraId="495C2526" w14:textId="77777777" w:rsidTr="00EA381E">
        <w:trPr>
          <w:trHeight w:val="300"/>
          <w:jc w:val="center"/>
        </w:trPr>
        <w:tc>
          <w:tcPr>
            <w:tcW w:w="6120" w:type="dxa"/>
            <w:tcBorders>
              <w:top w:val="nil"/>
              <w:left w:val="nil"/>
              <w:bottom w:val="nil"/>
              <w:right w:val="nil"/>
            </w:tcBorders>
            <w:shd w:val="clear" w:color="auto" w:fill="FFFFFF"/>
            <w:noWrap/>
            <w:vAlign w:val="bottom"/>
          </w:tcPr>
          <w:p w14:paraId="6576EF38" w14:textId="77777777" w:rsidR="00EA381E" w:rsidRPr="00CD3624" w:rsidRDefault="00EA381E" w:rsidP="00EA381E">
            <w:pPr>
              <w:jc w:val="left"/>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nil"/>
              <w:right w:val="nil"/>
            </w:tcBorders>
            <w:shd w:val="clear" w:color="auto" w:fill="FFFFFF"/>
            <w:vAlign w:val="bottom"/>
          </w:tcPr>
          <w:p w14:paraId="1EC42D22" w14:textId="77777777" w:rsidR="00EA381E" w:rsidRPr="00CD3624" w:rsidRDefault="00EA381E" w:rsidP="00EA381E">
            <w:pPr>
              <w:jc w:val="left"/>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bottom w:val="nil"/>
              <w:right w:val="nil"/>
            </w:tcBorders>
            <w:shd w:val="clear" w:color="auto" w:fill="FFFFFF"/>
            <w:vAlign w:val="bottom"/>
          </w:tcPr>
          <w:p w14:paraId="67043981" w14:textId="77777777"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bottom w:val="nil"/>
              <w:right w:val="nil"/>
            </w:tcBorders>
            <w:shd w:val="clear" w:color="auto" w:fill="FFFFFF"/>
            <w:vAlign w:val="bottom"/>
          </w:tcPr>
          <w:p w14:paraId="62DC7A55" w14:textId="1BD150F2"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r>
      <w:tr w:rsidR="00EA381E" w:rsidRPr="00CD3624" w14:paraId="4DD45755" w14:textId="77777777" w:rsidTr="00EA381E">
        <w:trPr>
          <w:trHeight w:val="300"/>
          <w:jc w:val="center"/>
        </w:trPr>
        <w:tc>
          <w:tcPr>
            <w:tcW w:w="6120" w:type="dxa"/>
            <w:tcBorders>
              <w:top w:val="nil"/>
              <w:left w:val="nil"/>
              <w:bottom w:val="nil"/>
              <w:right w:val="nil"/>
            </w:tcBorders>
            <w:shd w:val="clear" w:color="auto" w:fill="FFFFFF"/>
            <w:noWrap/>
            <w:vAlign w:val="bottom"/>
          </w:tcPr>
          <w:p w14:paraId="6F0A0BB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Ingresos y gastos imputados directamente en el patrimonio neto</w:t>
            </w:r>
          </w:p>
        </w:tc>
        <w:tc>
          <w:tcPr>
            <w:tcW w:w="661" w:type="dxa"/>
            <w:tcBorders>
              <w:top w:val="nil"/>
              <w:left w:val="nil"/>
              <w:bottom w:val="nil"/>
              <w:right w:val="nil"/>
            </w:tcBorders>
            <w:shd w:val="clear" w:color="auto" w:fill="FFFFFF"/>
            <w:vAlign w:val="bottom"/>
          </w:tcPr>
          <w:p w14:paraId="6F6FDD9E" w14:textId="77777777" w:rsidR="00EA381E" w:rsidRPr="00CD3624" w:rsidRDefault="00EA381E" w:rsidP="00EA381E">
            <w:pPr>
              <w:jc w:val="left"/>
              <w:rPr>
                <w:rFonts w:cs="Arial"/>
                <w:color w:val="000000"/>
                <w:sz w:val="16"/>
                <w:szCs w:val="16"/>
              </w:rPr>
            </w:pPr>
            <w:r w:rsidRPr="00CD3624">
              <w:rPr>
                <w:rFonts w:cs="Arial"/>
                <w:color w:val="000000"/>
                <w:sz w:val="16"/>
                <w:szCs w:val="16"/>
              </w:rPr>
              <w:t> </w:t>
            </w:r>
          </w:p>
        </w:tc>
        <w:tc>
          <w:tcPr>
            <w:tcW w:w="1880" w:type="dxa"/>
            <w:tcBorders>
              <w:top w:val="nil"/>
              <w:left w:val="nil"/>
              <w:bottom w:val="nil"/>
              <w:right w:val="nil"/>
            </w:tcBorders>
            <w:shd w:val="clear" w:color="auto" w:fill="FFFFFF"/>
            <w:vAlign w:val="bottom"/>
          </w:tcPr>
          <w:p w14:paraId="3195DF86" w14:textId="77777777" w:rsidR="00EA381E" w:rsidRPr="00CD3624" w:rsidRDefault="00EA381E" w:rsidP="00EA381E">
            <w:pPr>
              <w:jc w:val="right"/>
              <w:rPr>
                <w:rFonts w:cs="Arial"/>
                <w:color w:val="000000"/>
                <w:sz w:val="16"/>
                <w:szCs w:val="16"/>
              </w:rPr>
            </w:pPr>
            <w:r w:rsidRPr="00CD3624">
              <w:rPr>
                <w:rFonts w:cs="Arial"/>
                <w:color w:val="000000"/>
                <w:sz w:val="16"/>
                <w:szCs w:val="16"/>
              </w:rPr>
              <w:t> </w:t>
            </w:r>
          </w:p>
        </w:tc>
        <w:tc>
          <w:tcPr>
            <w:tcW w:w="1257" w:type="dxa"/>
            <w:tcBorders>
              <w:top w:val="nil"/>
              <w:left w:val="nil"/>
              <w:bottom w:val="nil"/>
              <w:right w:val="nil"/>
            </w:tcBorders>
            <w:shd w:val="clear" w:color="auto" w:fill="FFFFFF"/>
            <w:vAlign w:val="bottom"/>
          </w:tcPr>
          <w:p w14:paraId="2F7797E2" w14:textId="481B0DFC" w:rsidR="00EA381E" w:rsidRPr="00CD3624" w:rsidRDefault="00EA381E" w:rsidP="00EA381E">
            <w:pPr>
              <w:jc w:val="right"/>
              <w:rPr>
                <w:rFonts w:cs="Arial"/>
                <w:color w:val="000000"/>
                <w:sz w:val="16"/>
                <w:szCs w:val="16"/>
              </w:rPr>
            </w:pPr>
            <w:r w:rsidRPr="00CD3624">
              <w:rPr>
                <w:rFonts w:cs="Arial"/>
                <w:color w:val="000000"/>
                <w:sz w:val="16"/>
                <w:szCs w:val="16"/>
              </w:rPr>
              <w:t> </w:t>
            </w:r>
          </w:p>
        </w:tc>
      </w:tr>
      <w:tr w:rsidR="00816416" w:rsidRPr="00CD3624" w14:paraId="4F23FBB0" w14:textId="77777777" w:rsidTr="00EA381E">
        <w:trPr>
          <w:trHeight w:val="300"/>
          <w:jc w:val="center"/>
        </w:trPr>
        <w:tc>
          <w:tcPr>
            <w:tcW w:w="6120" w:type="dxa"/>
            <w:tcBorders>
              <w:top w:val="nil"/>
              <w:left w:val="nil"/>
              <w:bottom w:val="nil"/>
              <w:right w:val="nil"/>
            </w:tcBorders>
            <w:shd w:val="clear" w:color="auto" w:fill="FFFFFF"/>
            <w:noWrap/>
            <w:vAlign w:val="bottom"/>
          </w:tcPr>
          <w:p w14:paraId="495FC5A3" w14:textId="44AB2ACB" w:rsidR="00816416" w:rsidRPr="00CD3624" w:rsidRDefault="00FB6ED0" w:rsidP="00EA381E">
            <w:pPr>
              <w:jc w:val="left"/>
              <w:rPr>
                <w:rFonts w:cs="Arial"/>
                <w:b/>
                <w:bCs/>
                <w:color w:val="000000"/>
                <w:sz w:val="16"/>
                <w:szCs w:val="16"/>
              </w:rPr>
            </w:pPr>
            <w:r>
              <w:rPr>
                <w:rFonts w:cs="Arial"/>
                <w:b/>
                <w:bCs/>
                <w:color w:val="000000"/>
                <w:sz w:val="16"/>
                <w:szCs w:val="16"/>
              </w:rPr>
              <w:t xml:space="preserve">    III. Subvenciones, donaciones y legados recibidos</w:t>
            </w:r>
          </w:p>
        </w:tc>
        <w:tc>
          <w:tcPr>
            <w:tcW w:w="661" w:type="dxa"/>
            <w:tcBorders>
              <w:top w:val="nil"/>
              <w:left w:val="nil"/>
              <w:bottom w:val="nil"/>
              <w:right w:val="nil"/>
            </w:tcBorders>
            <w:shd w:val="clear" w:color="auto" w:fill="FFFFFF"/>
            <w:vAlign w:val="bottom"/>
          </w:tcPr>
          <w:p w14:paraId="7A2DE6D0" w14:textId="7A33F152" w:rsidR="00816416" w:rsidRPr="00CD3624" w:rsidRDefault="00825E9F" w:rsidP="00EA381E">
            <w:pPr>
              <w:jc w:val="left"/>
              <w:rPr>
                <w:rFonts w:cs="Arial"/>
                <w:color w:val="000000"/>
                <w:sz w:val="16"/>
                <w:szCs w:val="16"/>
              </w:rPr>
            </w:pPr>
            <w:r>
              <w:rPr>
                <w:rFonts w:cs="Arial"/>
                <w:color w:val="000000"/>
                <w:sz w:val="16"/>
                <w:szCs w:val="16"/>
              </w:rPr>
              <w:t>12.2</w:t>
            </w:r>
          </w:p>
        </w:tc>
        <w:tc>
          <w:tcPr>
            <w:tcW w:w="1880" w:type="dxa"/>
            <w:tcBorders>
              <w:top w:val="nil"/>
              <w:left w:val="nil"/>
              <w:bottom w:val="nil"/>
              <w:right w:val="nil"/>
            </w:tcBorders>
            <w:shd w:val="clear" w:color="auto" w:fill="FFFFFF"/>
            <w:vAlign w:val="bottom"/>
          </w:tcPr>
          <w:p w14:paraId="4DFCA948" w14:textId="098F12F8" w:rsidR="00816416" w:rsidRPr="00CD3624" w:rsidRDefault="00FE41BD" w:rsidP="00EA381E">
            <w:pPr>
              <w:jc w:val="right"/>
              <w:rPr>
                <w:rFonts w:cs="Arial"/>
                <w:color w:val="000000"/>
                <w:sz w:val="16"/>
                <w:szCs w:val="16"/>
              </w:rPr>
            </w:pPr>
            <w:r>
              <w:rPr>
                <w:rFonts w:cs="Arial"/>
                <w:color w:val="000000"/>
                <w:sz w:val="16"/>
                <w:szCs w:val="16"/>
              </w:rPr>
              <w:t>0,00</w:t>
            </w:r>
          </w:p>
        </w:tc>
        <w:tc>
          <w:tcPr>
            <w:tcW w:w="1257" w:type="dxa"/>
            <w:tcBorders>
              <w:top w:val="nil"/>
              <w:left w:val="nil"/>
              <w:bottom w:val="nil"/>
              <w:right w:val="nil"/>
            </w:tcBorders>
            <w:shd w:val="clear" w:color="auto" w:fill="FFFFFF"/>
            <w:vAlign w:val="bottom"/>
          </w:tcPr>
          <w:p w14:paraId="70F70266" w14:textId="15669203" w:rsidR="00816416" w:rsidRPr="00CD3624" w:rsidRDefault="000B7B1B" w:rsidP="00EA381E">
            <w:pPr>
              <w:jc w:val="right"/>
              <w:rPr>
                <w:rFonts w:cs="Arial"/>
                <w:color w:val="000000"/>
                <w:sz w:val="16"/>
                <w:szCs w:val="16"/>
              </w:rPr>
            </w:pPr>
            <w:r>
              <w:rPr>
                <w:rFonts w:cs="Arial"/>
                <w:color w:val="000000"/>
                <w:sz w:val="16"/>
                <w:szCs w:val="16"/>
              </w:rPr>
              <w:t>8.377,54</w:t>
            </w:r>
          </w:p>
        </w:tc>
      </w:tr>
      <w:tr w:rsidR="00FB6ED0" w:rsidRPr="00CD3624" w14:paraId="063FAD9F" w14:textId="77777777" w:rsidTr="00EA381E">
        <w:trPr>
          <w:trHeight w:val="300"/>
          <w:jc w:val="center"/>
        </w:trPr>
        <w:tc>
          <w:tcPr>
            <w:tcW w:w="6120" w:type="dxa"/>
            <w:tcBorders>
              <w:top w:val="nil"/>
              <w:left w:val="nil"/>
              <w:bottom w:val="nil"/>
              <w:right w:val="nil"/>
            </w:tcBorders>
            <w:shd w:val="clear" w:color="auto" w:fill="FFFFFF"/>
            <w:noWrap/>
            <w:vAlign w:val="bottom"/>
          </w:tcPr>
          <w:p w14:paraId="0B2BD005" w14:textId="44F9BA94" w:rsidR="00FB6ED0" w:rsidRDefault="00FB6ED0" w:rsidP="00EA381E">
            <w:pPr>
              <w:jc w:val="left"/>
              <w:rPr>
                <w:rFonts w:cs="Arial"/>
                <w:b/>
                <w:bCs/>
                <w:color w:val="000000"/>
                <w:sz w:val="16"/>
                <w:szCs w:val="16"/>
              </w:rPr>
            </w:pPr>
            <w:r>
              <w:rPr>
                <w:rFonts w:cs="Arial"/>
                <w:b/>
                <w:bCs/>
                <w:color w:val="000000"/>
                <w:sz w:val="16"/>
                <w:szCs w:val="16"/>
              </w:rPr>
              <w:t xml:space="preserve">    V.  Efecto impositivo</w:t>
            </w:r>
          </w:p>
        </w:tc>
        <w:tc>
          <w:tcPr>
            <w:tcW w:w="661" w:type="dxa"/>
            <w:tcBorders>
              <w:top w:val="nil"/>
              <w:left w:val="nil"/>
              <w:bottom w:val="nil"/>
              <w:right w:val="nil"/>
            </w:tcBorders>
            <w:shd w:val="clear" w:color="auto" w:fill="FFFFFF"/>
            <w:vAlign w:val="bottom"/>
          </w:tcPr>
          <w:p w14:paraId="2AD80D69" w14:textId="24EE17CA" w:rsidR="00FB6ED0" w:rsidRPr="00CD3624" w:rsidRDefault="00825E9F" w:rsidP="00EA381E">
            <w:pPr>
              <w:jc w:val="left"/>
              <w:rPr>
                <w:rFonts w:cs="Arial"/>
                <w:color w:val="000000"/>
                <w:sz w:val="16"/>
                <w:szCs w:val="16"/>
              </w:rPr>
            </w:pPr>
            <w:r>
              <w:rPr>
                <w:rFonts w:cs="Arial"/>
                <w:color w:val="000000"/>
                <w:sz w:val="16"/>
                <w:szCs w:val="16"/>
              </w:rPr>
              <w:t>15.2</w:t>
            </w:r>
          </w:p>
        </w:tc>
        <w:tc>
          <w:tcPr>
            <w:tcW w:w="1880" w:type="dxa"/>
            <w:tcBorders>
              <w:top w:val="nil"/>
              <w:left w:val="nil"/>
              <w:bottom w:val="nil"/>
              <w:right w:val="nil"/>
            </w:tcBorders>
            <w:shd w:val="clear" w:color="auto" w:fill="FFFFFF"/>
            <w:vAlign w:val="bottom"/>
          </w:tcPr>
          <w:p w14:paraId="3D873FF6" w14:textId="34889A31" w:rsidR="00FB6ED0" w:rsidRPr="00CD3624" w:rsidRDefault="00FE41BD" w:rsidP="00EA381E">
            <w:pPr>
              <w:jc w:val="right"/>
              <w:rPr>
                <w:rFonts w:cs="Arial"/>
                <w:color w:val="000000"/>
                <w:sz w:val="16"/>
                <w:szCs w:val="16"/>
              </w:rPr>
            </w:pPr>
            <w:r>
              <w:rPr>
                <w:rFonts w:cs="Arial"/>
                <w:color w:val="000000"/>
                <w:sz w:val="16"/>
                <w:szCs w:val="16"/>
              </w:rPr>
              <w:t>0,00</w:t>
            </w:r>
          </w:p>
        </w:tc>
        <w:tc>
          <w:tcPr>
            <w:tcW w:w="1257" w:type="dxa"/>
            <w:tcBorders>
              <w:top w:val="nil"/>
              <w:left w:val="nil"/>
              <w:bottom w:val="nil"/>
              <w:right w:val="nil"/>
            </w:tcBorders>
            <w:shd w:val="clear" w:color="auto" w:fill="FFFFFF"/>
            <w:vAlign w:val="bottom"/>
          </w:tcPr>
          <w:p w14:paraId="08AD9527" w14:textId="119121CF" w:rsidR="00FB6ED0" w:rsidRPr="00CD3624" w:rsidRDefault="000B7B1B" w:rsidP="00EA381E">
            <w:pPr>
              <w:jc w:val="right"/>
              <w:rPr>
                <w:rFonts w:cs="Arial"/>
                <w:color w:val="000000"/>
                <w:sz w:val="16"/>
                <w:szCs w:val="16"/>
              </w:rPr>
            </w:pPr>
            <w:r>
              <w:rPr>
                <w:rFonts w:cs="Arial"/>
                <w:color w:val="000000"/>
                <w:sz w:val="16"/>
                <w:szCs w:val="16"/>
              </w:rPr>
              <w:t>(2.094,39)</w:t>
            </w:r>
          </w:p>
        </w:tc>
      </w:tr>
      <w:tr w:rsidR="00EA381E" w:rsidRPr="00CD3624" w14:paraId="558FA1E0"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6627480B"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Total ingresos y gastos imputados directamente en el patrimonio neto</w:t>
            </w:r>
          </w:p>
        </w:tc>
        <w:tc>
          <w:tcPr>
            <w:tcW w:w="661" w:type="dxa"/>
            <w:tcBorders>
              <w:top w:val="single" w:sz="8" w:space="0" w:color="auto"/>
              <w:left w:val="nil"/>
              <w:bottom w:val="single" w:sz="8" w:space="0" w:color="auto"/>
              <w:right w:val="nil"/>
            </w:tcBorders>
            <w:shd w:val="clear" w:color="auto" w:fill="C0C0C0"/>
            <w:vAlign w:val="bottom"/>
          </w:tcPr>
          <w:p w14:paraId="0C03CAFB"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single" w:sz="8" w:space="0" w:color="auto"/>
              <w:left w:val="nil"/>
              <w:bottom w:val="single" w:sz="8" w:space="0" w:color="auto"/>
              <w:right w:val="nil"/>
            </w:tcBorders>
            <w:shd w:val="clear" w:color="auto" w:fill="C0C0C0"/>
            <w:vAlign w:val="bottom"/>
          </w:tcPr>
          <w:p w14:paraId="088EB1C4" w14:textId="2A0AAF63" w:rsidR="00EA381E" w:rsidRPr="00CD3624" w:rsidRDefault="00FE41BD" w:rsidP="00EA381E">
            <w:pPr>
              <w:jc w:val="right"/>
              <w:rPr>
                <w:rFonts w:cs="Arial"/>
                <w:b/>
                <w:bCs/>
                <w:color w:val="000000"/>
                <w:sz w:val="16"/>
                <w:szCs w:val="16"/>
                <w:lang w:val="en-US"/>
              </w:rPr>
            </w:pPr>
            <w:r>
              <w:rPr>
                <w:rFonts w:cs="Arial"/>
                <w:b/>
                <w:bCs/>
                <w:color w:val="000000"/>
                <w:sz w:val="16"/>
                <w:szCs w:val="16"/>
                <w:lang w:val="en-US"/>
              </w:rPr>
              <w:t>0,00</w:t>
            </w:r>
          </w:p>
        </w:tc>
        <w:tc>
          <w:tcPr>
            <w:tcW w:w="1257" w:type="dxa"/>
            <w:tcBorders>
              <w:top w:val="single" w:sz="8" w:space="0" w:color="auto"/>
              <w:left w:val="nil"/>
              <w:bottom w:val="single" w:sz="8" w:space="0" w:color="auto"/>
              <w:right w:val="nil"/>
            </w:tcBorders>
            <w:shd w:val="clear" w:color="auto" w:fill="C0C0C0"/>
            <w:vAlign w:val="bottom"/>
          </w:tcPr>
          <w:p w14:paraId="1E7E09B9" w14:textId="35DB4BBC" w:rsidR="00EA381E" w:rsidRPr="00CD3624" w:rsidRDefault="000B7B1B" w:rsidP="00EA381E">
            <w:pPr>
              <w:jc w:val="right"/>
              <w:rPr>
                <w:rFonts w:cs="Arial"/>
                <w:b/>
                <w:bCs/>
                <w:color w:val="000000"/>
                <w:sz w:val="16"/>
                <w:szCs w:val="16"/>
                <w:lang w:val="en-US"/>
              </w:rPr>
            </w:pPr>
            <w:r>
              <w:rPr>
                <w:rFonts w:cs="Arial"/>
                <w:b/>
                <w:bCs/>
                <w:color w:val="000000"/>
                <w:sz w:val="16"/>
                <w:szCs w:val="16"/>
                <w:lang w:val="en-US"/>
              </w:rPr>
              <w:t>6.283,15</w:t>
            </w:r>
          </w:p>
        </w:tc>
      </w:tr>
      <w:tr w:rsidR="00EA381E" w:rsidRPr="00CD3624" w14:paraId="7AFD597C" w14:textId="77777777" w:rsidTr="00EA381E">
        <w:trPr>
          <w:trHeight w:val="300"/>
          <w:jc w:val="center"/>
        </w:trPr>
        <w:tc>
          <w:tcPr>
            <w:tcW w:w="6120" w:type="dxa"/>
            <w:tcBorders>
              <w:top w:val="nil"/>
              <w:left w:val="nil"/>
              <w:bottom w:val="nil"/>
              <w:right w:val="nil"/>
            </w:tcBorders>
            <w:shd w:val="clear" w:color="auto" w:fill="FFFFFF"/>
            <w:noWrap/>
            <w:vAlign w:val="bottom"/>
          </w:tcPr>
          <w:p w14:paraId="0241FE79"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nil"/>
              <w:right w:val="nil"/>
            </w:tcBorders>
            <w:shd w:val="clear" w:color="auto" w:fill="FFFFFF"/>
            <w:vAlign w:val="bottom"/>
          </w:tcPr>
          <w:p w14:paraId="38CC113E" w14:textId="77777777" w:rsidR="00EA381E" w:rsidRPr="00CD3624" w:rsidRDefault="00EA381E" w:rsidP="00EA381E">
            <w:pPr>
              <w:jc w:val="left"/>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right w:val="nil"/>
            </w:tcBorders>
            <w:shd w:val="clear" w:color="auto" w:fill="FFFFFF"/>
            <w:vAlign w:val="bottom"/>
          </w:tcPr>
          <w:p w14:paraId="07BE5497" w14:textId="77777777"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right w:val="nil"/>
            </w:tcBorders>
            <w:shd w:val="clear" w:color="auto" w:fill="FFFFFF"/>
            <w:vAlign w:val="bottom"/>
          </w:tcPr>
          <w:p w14:paraId="2F07E645" w14:textId="4AC50D10"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r>
      <w:tr w:rsidR="00EA381E" w:rsidRPr="00CD3624" w14:paraId="0745A88E" w14:textId="77777777" w:rsidTr="00EA381E">
        <w:trPr>
          <w:trHeight w:val="300"/>
          <w:jc w:val="center"/>
        </w:trPr>
        <w:tc>
          <w:tcPr>
            <w:tcW w:w="6120" w:type="dxa"/>
            <w:tcBorders>
              <w:top w:val="nil"/>
              <w:left w:val="nil"/>
              <w:bottom w:val="nil"/>
              <w:right w:val="nil"/>
            </w:tcBorders>
            <w:shd w:val="clear" w:color="auto" w:fill="FFFFFF"/>
            <w:noWrap/>
            <w:vAlign w:val="bottom"/>
          </w:tcPr>
          <w:p w14:paraId="645EEF91"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Transferencias a la cuenta de pérdidas y ganancias</w:t>
            </w:r>
          </w:p>
        </w:tc>
        <w:tc>
          <w:tcPr>
            <w:tcW w:w="661" w:type="dxa"/>
            <w:tcBorders>
              <w:top w:val="nil"/>
              <w:left w:val="nil"/>
              <w:bottom w:val="nil"/>
              <w:right w:val="nil"/>
            </w:tcBorders>
            <w:shd w:val="clear" w:color="auto" w:fill="FFFFFF"/>
            <w:vAlign w:val="bottom"/>
          </w:tcPr>
          <w:p w14:paraId="291981E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right w:val="nil"/>
            </w:tcBorders>
            <w:shd w:val="clear" w:color="auto" w:fill="FFFFFF"/>
            <w:vAlign w:val="bottom"/>
          </w:tcPr>
          <w:p w14:paraId="5298D71A"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257" w:type="dxa"/>
            <w:tcBorders>
              <w:top w:val="nil"/>
              <w:left w:val="nil"/>
              <w:right w:val="nil"/>
            </w:tcBorders>
            <w:shd w:val="clear" w:color="auto" w:fill="FFFFFF"/>
            <w:vAlign w:val="bottom"/>
          </w:tcPr>
          <w:p w14:paraId="4010F834" w14:textId="04930ED6"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r>
      <w:tr w:rsidR="00EA381E" w:rsidRPr="00CD3624" w14:paraId="2EFF1726" w14:textId="77777777" w:rsidTr="00EA381E">
        <w:trPr>
          <w:trHeight w:val="300"/>
          <w:jc w:val="center"/>
        </w:trPr>
        <w:tc>
          <w:tcPr>
            <w:tcW w:w="6120" w:type="dxa"/>
            <w:tcBorders>
              <w:top w:val="nil"/>
              <w:left w:val="nil"/>
              <w:bottom w:val="nil"/>
              <w:right w:val="nil"/>
            </w:tcBorders>
            <w:shd w:val="clear" w:color="auto" w:fill="FFFFFF"/>
            <w:noWrap/>
            <w:vAlign w:val="bottom"/>
          </w:tcPr>
          <w:p w14:paraId="16600F5A"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xml:space="preserve">     VIII. Subvenciones, donaciones y legados recibidos</w:t>
            </w:r>
          </w:p>
        </w:tc>
        <w:tc>
          <w:tcPr>
            <w:tcW w:w="661" w:type="dxa"/>
            <w:tcBorders>
              <w:top w:val="nil"/>
              <w:left w:val="nil"/>
              <w:bottom w:val="nil"/>
              <w:right w:val="nil"/>
            </w:tcBorders>
            <w:shd w:val="clear" w:color="auto" w:fill="FFFFFF"/>
            <w:vAlign w:val="bottom"/>
          </w:tcPr>
          <w:p w14:paraId="7E39B945" w14:textId="77777777" w:rsidR="00EA381E" w:rsidRPr="00CD3624" w:rsidRDefault="00EA381E" w:rsidP="00EA381E">
            <w:pPr>
              <w:jc w:val="center"/>
              <w:rPr>
                <w:rFonts w:cs="Arial"/>
                <w:bCs/>
                <w:color w:val="000000"/>
                <w:sz w:val="16"/>
                <w:szCs w:val="16"/>
              </w:rPr>
            </w:pPr>
            <w:r w:rsidRPr="00CD3624">
              <w:rPr>
                <w:rFonts w:cs="Arial"/>
                <w:bCs/>
                <w:color w:val="000000"/>
                <w:sz w:val="16"/>
                <w:szCs w:val="16"/>
              </w:rPr>
              <w:t>1</w:t>
            </w:r>
            <w:r>
              <w:rPr>
                <w:rFonts w:cs="Arial"/>
                <w:bCs/>
                <w:color w:val="000000"/>
                <w:sz w:val="16"/>
                <w:szCs w:val="16"/>
              </w:rPr>
              <w:t>2.2</w:t>
            </w:r>
          </w:p>
        </w:tc>
        <w:tc>
          <w:tcPr>
            <w:tcW w:w="1880" w:type="dxa"/>
            <w:tcBorders>
              <w:left w:val="nil"/>
              <w:right w:val="nil"/>
            </w:tcBorders>
            <w:shd w:val="clear" w:color="auto" w:fill="FFFFFF"/>
            <w:vAlign w:val="bottom"/>
          </w:tcPr>
          <w:p w14:paraId="07859A82" w14:textId="6ADD47E8" w:rsidR="00EA381E" w:rsidRPr="00CD3624" w:rsidRDefault="00EA381E" w:rsidP="00EA381E">
            <w:pPr>
              <w:jc w:val="right"/>
              <w:rPr>
                <w:rFonts w:cs="Arial"/>
                <w:color w:val="000000"/>
                <w:sz w:val="16"/>
                <w:szCs w:val="16"/>
              </w:rPr>
            </w:pPr>
            <w:r w:rsidRPr="00CD3624">
              <w:rPr>
                <w:rFonts w:cs="Arial"/>
                <w:color w:val="000000"/>
                <w:sz w:val="16"/>
                <w:szCs w:val="16"/>
              </w:rPr>
              <w:t>(</w:t>
            </w:r>
            <w:r w:rsidR="00FE41BD">
              <w:rPr>
                <w:rFonts w:cs="Arial"/>
                <w:color w:val="000000"/>
                <w:sz w:val="16"/>
                <w:szCs w:val="16"/>
              </w:rPr>
              <w:t>5.995,30</w:t>
            </w:r>
            <w:r w:rsidRPr="00CD3624">
              <w:rPr>
                <w:rFonts w:cs="Arial"/>
                <w:color w:val="000000"/>
                <w:sz w:val="16"/>
                <w:szCs w:val="16"/>
              </w:rPr>
              <w:t>)</w:t>
            </w:r>
          </w:p>
        </w:tc>
        <w:tc>
          <w:tcPr>
            <w:tcW w:w="1257" w:type="dxa"/>
            <w:tcBorders>
              <w:left w:val="nil"/>
              <w:right w:val="nil"/>
            </w:tcBorders>
            <w:shd w:val="clear" w:color="auto" w:fill="FFFFFF"/>
            <w:vAlign w:val="bottom"/>
          </w:tcPr>
          <w:p w14:paraId="5DB04C03" w14:textId="18ACCA10" w:rsidR="00EA381E" w:rsidRPr="00CD3624" w:rsidRDefault="00EA381E" w:rsidP="00EA381E">
            <w:pPr>
              <w:jc w:val="right"/>
              <w:rPr>
                <w:rFonts w:cs="Arial"/>
                <w:color w:val="000000"/>
                <w:sz w:val="16"/>
                <w:szCs w:val="16"/>
              </w:rPr>
            </w:pPr>
            <w:r w:rsidRPr="00CD3624">
              <w:rPr>
                <w:rFonts w:cs="Arial"/>
                <w:color w:val="000000"/>
                <w:sz w:val="16"/>
                <w:szCs w:val="16"/>
              </w:rPr>
              <w:t>(4.990,00)</w:t>
            </w:r>
          </w:p>
        </w:tc>
      </w:tr>
      <w:tr w:rsidR="00EA381E" w:rsidRPr="00CD3624" w14:paraId="0E65119D" w14:textId="77777777" w:rsidTr="00EA381E">
        <w:trPr>
          <w:trHeight w:val="300"/>
          <w:jc w:val="center"/>
        </w:trPr>
        <w:tc>
          <w:tcPr>
            <w:tcW w:w="6120" w:type="dxa"/>
            <w:tcBorders>
              <w:top w:val="nil"/>
              <w:left w:val="nil"/>
              <w:bottom w:val="nil"/>
              <w:right w:val="nil"/>
            </w:tcBorders>
            <w:shd w:val="clear" w:color="auto" w:fill="FFFFFF"/>
            <w:noWrap/>
            <w:vAlign w:val="bottom"/>
          </w:tcPr>
          <w:p w14:paraId="0B27D15E" w14:textId="1BB9E102" w:rsidR="00EA381E" w:rsidRPr="00CD3624" w:rsidRDefault="00EA381E" w:rsidP="00EA381E">
            <w:pPr>
              <w:jc w:val="left"/>
              <w:rPr>
                <w:rFonts w:cs="Arial"/>
                <w:b/>
                <w:bCs/>
                <w:color w:val="000000"/>
                <w:sz w:val="16"/>
                <w:szCs w:val="16"/>
              </w:rPr>
            </w:pPr>
            <w:r w:rsidRPr="00CD3624">
              <w:rPr>
                <w:rFonts w:cs="Arial"/>
                <w:b/>
                <w:bCs/>
                <w:color w:val="000000"/>
                <w:sz w:val="16"/>
                <w:szCs w:val="16"/>
              </w:rPr>
              <w:t xml:space="preserve">     IX.  </w:t>
            </w:r>
            <w:r w:rsidR="00FB6ED0">
              <w:rPr>
                <w:rFonts w:cs="Arial"/>
                <w:b/>
                <w:bCs/>
                <w:color w:val="000000"/>
                <w:sz w:val="16"/>
                <w:szCs w:val="16"/>
              </w:rPr>
              <w:t xml:space="preserve"> </w:t>
            </w:r>
            <w:r w:rsidRPr="00CD3624">
              <w:rPr>
                <w:rFonts w:cs="Arial"/>
                <w:b/>
                <w:bCs/>
                <w:color w:val="000000"/>
                <w:sz w:val="16"/>
                <w:szCs w:val="16"/>
              </w:rPr>
              <w:t xml:space="preserve"> Efecto Impositivo</w:t>
            </w:r>
          </w:p>
        </w:tc>
        <w:tc>
          <w:tcPr>
            <w:tcW w:w="661" w:type="dxa"/>
            <w:tcBorders>
              <w:top w:val="nil"/>
              <w:left w:val="nil"/>
              <w:bottom w:val="nil"/>
              <w:right w:val="nil"/>
            </w:tcBorders>
            <w:shd w:val="clear" w:color="auto" w:fill="FFFFFF"/>
            <w:vAlign w:val="bottom"/>
          </w:tcPr>
          <w:p w14:paraId="1197BE58" w14:textId="77777777" w:rsidR="00EA381E" w:rsidRPr="00CD3624" w:rsidRDefault="00EA381E" w:rsidP="00EA381E">
            <w:pPr>
              <w:jc w:val="center"/>
              <w:rPr>
                <w:rFonts w:cs="Arial"/>
                <w:bCs/>
                <w:color w:val="000000"/>
                <w:sz w:val="16"/>
                <w:szCs w:val="16"/>
              </w:rPr>
            </w:pPr>
            <w:r w:rsidRPr="00CD3624">
              <w:rPr>
                <w:rFonts w:cs="Arial"/>
                <w:bCs/>
                <w:color w:val="000000"/>
                <w:sz w:val="16"/>
                <w:szCs w:val="16"/>
              </w:rPr>
              <w:t>15.2</w:t>
            </w:r>
          </w:p>
        </w:tc>
        <w:tc>
          <w:tcPr>
            <w:tcW w:w="1880" w:type="dxa"/>
            <w:tcBorders>
              <w:left w:val="nil"/>
              <w:bottom w:val="single" w:sz="8" w:space="0" w:color="auto"/>
              <w:right w:val="nil"/>
            </w:tcBorders>
            <w:shd w:val="clear" w:color="auto" w:fill="FFFFFF"/>
            <w:vAlign w:val="bottom"/>
          </w:tcPr>
          <w:p w14:paraId="056DFC7B" w14:textId="366ECC99" w:rsidR="00EA381E" w:rsidRPr="00CD3624" w:rsidRDefault="00EA381E" w:rsidP="00EA381E">
            <w:pPr>
              <w:jc w:val="right"/>
              <w:rPr>
                <w:rFonts w:cs="Arial"/>
                <w:color w:val="000000"/>
                <w:sz w:val="16"/>
                <w:szCs w:val="16"/>
              </w:rPr>
            </w:pPr>
            <w:r w:rsidRPr="00CD3624">
              <w:rPr>
                <w:rFonts w:cs="Arial"/>
                <w:color w:val="000000"/>
                <w:sz w:val="16"/>
                <w:szCs w:val="16"/>
              </w:rPr>
              <w:t>1.</w:t>
            </w:r>
            <w:r w:rsidR="00FE41BD">
              <w:rPr>
                <w:rFonts w:cs="Arial"/>
                <w:color w:val="000000"/>
                <w:sz w:val="16"/>
                <w:szCs w:val="16"/>
              </w:rPr>
              <w:t>498,83</w:t>
            </w:r>
          </w:p>
        </w:tc>
        <w:tc>
          <w:tcPr>
            <w:tcW w:w="1257" w:type="dxa"/>
            <w:tcBorders>
              <w:left w:val="nil"/>
              <w:bottom w:val="single" w:sz="8" w:space="0" w:color="auto"/>
              <w:right w:val="nil"/>
            </w:tcBorders>
            <w:shd w:val="clear" w:color="auto" w:fill="FFFFFF"/>
            <w:vAlign w:val="bottom"/>
          </w:tcPr>
          <w:p w14:paraId="53A9A612" w14:textId="37D082A2" w:rsidR="00EA381E" w:rsidRPr="00CD3624" w:rsidRDefault="00EA381E" w:rsidP="00EA381E">
            <w:pPr>
              <w:jc w:val="right"/>
              <w:rPr>
                <w:rFonts w:cs="Arial"/>
                <w:color w:val="000000"/>
                <w:sz w:val="16"/>
                <w:szCs w:val="16"/>
              </w:rPr>
            </w:pPr>
            <w:r w:rsidRPr="00CD3624">
              <w:rPr>
                <w:rFonts w:cs="Arial"/>
                <w:color w:val="000000"/>
                <w:sz w:val="16"/>
                <w:szCs w:val="16"/>
              </w:rPr>
              <w:t>1.247,50</w:t>
            </w:r>
          </w:p>
        </w:tc>
      </w:tr>
      <w:tr w:rsidR="00EA381E" w:rsidRPr="00CD3624" w14:paraId="2B8C143A"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56616E5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Total transferencias a la cuenta de pérdidas y ganancias</w:t>
            </w:r>
          </w:p>
        </w:tc>
        <w:tc>
          <w:tcPr>
            <w:tcW w:w="661" w:type="dxa"/>
            <w:tcBorders>
              <w:top w:val="single" w:sz="8" w:space="0" w:color="auto"/>
              <w:left w:val="nil"/>
              <w:bottom w:val="single" w:sz="8" w:space="0" w:color="auto"/>
              <w:right w:val="nil"/>
            </w:tcBorders>
            <w:shd w:val="clear" w:color="auto" w:fill="C0C0C0"/>
            <w:vAlign w:val="bottom"/>
          </w:tcPr>
          <w:p w14:paraId="72D2727E"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single" w:sz="8" w:space="0" w:color="auto"/>
              <w:left w:val="nil"/>
              <w:bottom w:val="single" w:sz="8" w:space="0" w:color="auto"/>
              <w:right w:val="nil"/>
            </w:tcBorders>
            <w:shd w:val="clear" w:color="auto" w:fill="C0C0C0"/>
            <w:vAlign w:val="bottom"/>
          </w:tcPr>
          <w:p w14:paraId="0E7F2DC8" w14:textId="5AF54F59"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FE41BD">
              <w:rPr>
                <w:rFonts w:cs="Arial"/>
                <w:b/>
                <w:bCs/>
                <w:sz w:val="16"/>
                <w:szCs w:val="16"/>
                <w:lang w:val="en-US"/>
              </w:rPr>
              <w:t>4.496,47</w:t>
            </w:r>
            <w:r w:rsidRPr="00CD3624">
              <w:rPr>
                <w:rFonts w:cs="Arial"/>
                <w:b/>
                <w:bCs/>
                <w:sz w:val="16"/>
                <w:szCs w:val="16"/>
                <w:lang w:val="en-US"/>
              </w:rPr>
              <w:t>)</w:t>
            </w:r>
          </w:p>
        </w:tc>
        <w:tc>
          <w:tcPr>
            <w:tcW w:w="1257" w:type="dxa"/>
            <w:tcBorders>
              <w:top w:val="single" w:sz="8" w:space="0" w:color="auto"/>
              <w:left w:val="nil"/>
              <w:bottom w:val="single" w:sz="8" w:space="0" w:color="auto"/>
              <w:right w:val="nil"/>
            </w:tcBorders>
            <w:shd w:val="clear" w:color="auto" w:fill="C0C0C0"/>
            <w:vAlign w:val="bottom"/>
          </w:tcPr>
          <w:p w14:paraId="0BBD0536" w14:textId="55304AE1" w:rsidR="00EA381E" w:rsidRPr="00CD3624" w:rsidRDefault="00EA381E" w:rsidP="00EA381E">
            <w:pPr>
              <w:jc w:val="right"/>
              <w:rPr>
                <w:rFonts w:cs="Arial"/>
                <w:b/>
                <w:bCs/>
                <w:sz w:val="16"/>
                <w:szCs w:val="16"/>
                <w:lang w:val="en-US"/>
              </w:rPr>
            </w:pPr>
            <w:r w:rsidRPr="00CD3624">
              <w:rPr>
                <w:rFonts w:cs="Arial"/>
                <w:b/>
                <w:bCs/>
                <w:sz w:val="16"/>
                <w:szCs w:val="16"/>
                <w:lang w:val="en-US"/>
              </w:rPr>
              <w:t>(3.742,50)</w:t>
            </w:r>
          </w:p>
        </w:tc>
      </w:tr>
      <w:tr w:rsidR="00EA381E" w:rsidRPr="00CD3624" w14:paraId="302656E8" w14:textId="77777777" w:rsidTr="00EA381E">
        <w:trPr>
          <w:trHeight w:val="315"/>
          <w:jc w:val="center"/>
        </w:trPr>
        <w:tc>
          <w:tcPr>
            <w:tcW w:w="6120" w:type="dxa"/>
            <w:tcBorders>
              <w:top w:val="nil"/>
              <w:left w:val="nil"/>
              <w:bottom w:val="double" w:sz="6" w:space="0" w:color="auto"/>
              <w:right w:val="nil"/>
            </w:tcBorders>
            <w:shd w:val="clear" w:color="auto" w:fill="FFFFFF"/>
            <w:noWrap/>
            <w:vAlign w:val="bottom"/>
          </w:tcPr>
          <w:p w14:paraId="37F0C5C5"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double" w:sz="6" w:space="0" w:color="auto"/>
              <w:right w:val="nil"/>
            </w:tcBorders>
            <w:shd w:val="clear" w:color="auto" w:fill="FFFFFF"/>
            <w:vAlign w:val="bottom"/>
          </w:tcPr>
          <w:p w14:paraId="2ADFE219"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1880" w:type="dxa"/>
            <w:tcBorders>
              <w:top w:val="nil"/>
              <w:left w:val="nil"/>
              <w:bottom w:val="double" w:sz="6" w:space="0" w:color="auto"/>
              <w:right w:val="nil"/>
            </w:tcBorders>
            <w:shd w:val="clear" w:color="auto" w:fill="FFFFFF"/>
            <w:vAlign w:val="bottom"/>
          </w:tcPr>
          <w:p w14:paraId="69F19027"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1257" w:type="dxa"/>
            <w:tcBorders>
              <w:top w:val="nil"/>
              <w:left w:val="nil"/>
              <w:bottom w:val="double" w:sz="6" w:space="0" w:color="auto"/>
              <w:right w:val="nil"/>
            </w:tcBorders>
            <w:shd w:val="clear" w:color="auto" w:fill="FFFFFF"/>
            <w:vAlign w:val="bottom"/>
          </w:tcPr>
          <w:p w14:paraId="06E875BF" w14:textId="38B58543"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r>
      <w:tr w:rsidR="00EA381E" w:rsidRPr="00D750B3" w14:paraId="5D3219D0" w14:textId="77777777" w:rsidTr="00EA381E">
        <w:trPr>
          <w:trHeight w:val="330"/>
          <w:jc w:val="center"/>
        </w:trPr>
        <w:tc>
          <w:tcPr>
            <w:tcW w:w="6120" w:type="dxa"/>
            <w:tcBorders>
              <w:top w:val="nil"/>
              <w:left w:val="nil"/>
              <w:bottom w:val="double" w:sz="6" w:space="0" w:color="auto"/>
              <w:right w:val="nil"/>
            </w:tcBorders>
            <w:shd w:val="clear" w:color="auto" w:fill="C0C0C0"/>
            <w:noWrap/>
            <w:vAlign w:val="bottom"/>
          </w:tcPr>
          <w:p w14:paraId="49E0BC33"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TOTAL</w:t>
            </w:r>
            <w:r>
              <w:rPr>
                <w:rFonts w:cs="Arial"/>
                <w:b/>
                <w:bCs/>
                <w:color w:val="000000"/>
                <w:sz w:val="16"/>
                <w:szCs w:val="16"/>
              </w:rPr>
              <w:t xml:space="preserve"> </w:t>
            </w:r>
            <w:r w:rsidRPr="00CD3624">
              <w:rPr>
                <w:rFonts w:cs="Arial"/>
                <w:b/>
                <w:bCs/>
                <w:color w:val="000000"/>
                <w:sz w:val="16"/>
                <w:szCs w:val="16"/>
              </w:rPr>
              <w:t>INGRESOS Y GASTOS RECONOCIDOS</w:t>
            </w:r>
          </w:p>
        </w:tc>
        <w:tc>
          <w:tcPr>
            <w:tcW w:w="661" w:type="dxa"/>
            <w:tcBorders>
              <w:top w:val="nil"/>
              <w:left w:val="nil"/>
              <w:bottom w:val="double" w:sz="6" w:space="0" w:color="auto"/>
              <w:right w:val="nil"/>
            </w:tcBorders>
            <w:shd w:val="clear" w:color="auto" w:fill="C0C0C0"/>
            <w:vAlign w:val="bottom"/>
          </w:tcPr>
          <w:p w14:paraId="4DA0DA07"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bottom w:val="double" w:sz="6" w:space="0" w:color="auto"/>
              <w:right w:val="nil"/>
            </w:tcBorders>
            <w:shd w:val="clear" w:color="auto" w:fill="C0C0C0"/>
            <w:vAlign w:val="bottom"/>
          </w:tcPr>
          <w:p w14:paraId="2ED90ECB" w14:textId="45BDE3F6"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FE41BD">
              <w:rPr>
                <w:rFonts w:cs="Arial"/>
                <w:b/>
                <w:bCs/>
                <w:sz w:val="16"/>
                <w:szCs w:val="16"/>
                <w:lang w:val="en-US"/>
              </w:rPr>
              <w:t>3.992.276,99</w:t>
            </w:r>
            <w:r w:rsidRPr="00CD3624">
              <w:rPr>
                <w:rFonts w:cs="Arial"/>
                <w:b/>
                <w:bCs/>
                <w:sz w:val="16"/>
                <w:szCs w:val="16"/>
                <w:lang w:val="en-US"/>
              </w:rPr>
              <w:t>)</w:t>
            </w:r>
          </w:p>
        </w:tc>
        <w:tc>
          <w:tcPr>
            <w:tcW w:w="1257" w:type="dxa"/>
            <w:tcBorders>
              <w:top w:val="nil"/>
              <w:left w:val="nil"/>
              <w:bottom w:val="double" w:sz="6" w:space="0" w:color="auto"/>
              <w:right w:val="nil"/>
            </w:tcBorders>
            <w:shd w:val="clear" w:color="auto" w:fill="C0C0C0"/>
            <w:vAlign w:val="bottom"/>
          </w:tcPr>
          <w:p w14:paraId="73DC78F3" w14:textId="450D7127"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FB6ED0">
              <w:rPr>
                <w:rFonts w:cs="Arial"/>
                <w:b/>
                <w:bCs/>
                <w:sz w:val="16"/>
                <w:szCs w:val="16"/>
                <w:lang w:val="en-US"/>
              </w:rPr>
              <w:t>5.</w:t>
            </w:r>
            <w:r w:rsidR="000B7B1B">
              <w:rPr>
                <w:rFonts w:cs="Arial"/>
                <w:b/>
                <w:bCs/>
                <w:sz w:val="16"/>
                <w:szCs w:val="16"/>
                <w:lang w:val="en-US"/>
              </w:rPr>
              <w:t>508.620,97</w:t>
            </w:r>
            <w:r w:rsidRPr="00CD3624">
              <w:rPr>
                <w:rFonts w:cs="Arial"/>
                <w:b/>
                <w:bCs/>
                <w:sz w:val="16"/>
                <w:szCs w:val="16"/>
                <w:lang w:val="en-US"/>
              </w:rPr>
              <w:t>)</w:t>
            </w:r>
          </w:p>
        </w:tc>
      </w:tr>
    </w:tbl>
    <w:p w14:paraId="66152B8F" w14:textId="77777777" w:rsidR="00FB485D" w:rsidRPr="00D750B3" w:rsidRDefault="00FB485D" w:rsidP="00373811">
      <w:pPr>
        <w:jc w:val="right"/>
        <w:rPr>
          <w:rFonts w:cs="Arial"/>
          <w:sz w:val="16"/>
          <w:szCs w:val="16"/>
        </w:rPr>
      </w:pPr>
    </w:p>
    <w:p w14:paraId="5534F579" w14:textId="77777777" w:rsidR="00FB485D" w:rsidRPr="00D750B3" w:rsidRDefault="00FB485D" w:rsidP="0036594C">
      <w:pPr>
        <w:rPr>
          <w:rFonts w:cs="Arial"/>
          <w:sz w:val="16"/>
          <w:szCs w:val="16"/>
        </w:rPr>
      </w:pPr>
    </w:p>
    <w:p w14:paraId="6BBA0BB4" w14:textId="77777777" w:rsidR="00FB485D" w:rsidRPr="00D750B3" w:rsidRDefault="00FB485D" w:rsidP="00373811">
      <w:pPr>
        <w:jc w:val="right"/>
        <w:rPr>
          <w:rFonts w:cs="Arial"/>
          <w:sz w:val="16"/>
          <w:szCs w:val="16"/>
        </w:rPr>
      </w:pPr>
    </w:p>
    <w:p w14:paraId="5B5FF60B" w14:textId="77777777" w:rsidR="003324BB" w:rsidRPr="00D750B3" w:rsidRDefault="003324BB" w:rsidP="00276F54">
      <w:pPr>
        <w:rPr>
          <w:rFonts w:cs="Arial"/>
        </w:rPr>
      </w:pPr>
    </w:p>
    <w:p w14:paraId="0B6EF55E" w14:textId="77777777" w:rsidR="00047166" w:rsidRPr="007E79B2" w:rsidRDefault="00047166" w:rsidP="00FB485D">
      <w:pPr>
        <w:jc w:val="center"/>
        <w:rPr>
          <w:rFonts w:cs="Arial"/>
          <w:highlight w:val="yellow"/>
        </w:rPr>
      </w:pPr>
    </w:p>
    <w:p w14:paraId="3AC7C3CE" w14:textId="77777777" w:rsidR="00F14304" w:rsidRPr="007E79B2" w:rsidRDefault="00F14304" w:rsidP="00FB485D">
      <w:pPr>
        <w:jc w:val="center"/>
        <w:rPr>
          <w:rFonts w:cs="Arial"/>
          <w:highlight w:val="yellow"/>
        </w:rPr>
        <w:sectPr w:rsidR="00F14304" w:rsidRPr="007E79B2" w:rsidSect="000958AB">
          <w:headerReference w:type="even" r:id="rId15"/>
          <w:headerReference w:type="default" r:id="rId16"/>
          <w:footerReference w:type="default" r:id="rId17"/>
          <w:headerReference w:type="first" r:id="rId18"/>
          <w:pgSz w:w="11907" w:h="16840" w:code="9"/>
          <w:pgMar w:top="1259" w:right="1440" w:bottom="1077" w:left="1440" w:header="1134" w:footer="567" w:gutter="0"/>
          <w:pgNumType w:start="1"/>
          <w:cols w:space="720"/>
          <w:docGrid w:linePitch="360"/>
        </w:sectPr>
      </w:pPr>
    </w:p>
    <w:p w14:paraId="1CAF9991" w14:textId="77777777" w:rsidR="00D579FB" w:rsidRPr="00D750B3" w:rsidRDefault="0036594C" w:rsidP="00F55621">
      <w:pPr>
        <w:jc w:val="left"/>
        <w:rPr>
          <w:rFonts w:cs="Arial"/>
          <w:b/>
          <w:szCs w:val="20"/>
        </w:rPr>
      </w:pPr>
      <w:r w:rsidRPr="00D750B3">
        <w:rPr>
          <w:rFonts w:cs="Arial"/>
          <w:b/>
          <w:szCs w:val="20"/>
        </w:rPr>
        <w:lastRenderedPageBreak/>
        <w:t xml:space="preserve">GESTION DEL MEDIO RURAL DE CANARIAS, S.A. Unipersonal </w:t>
      </w:r>
    </w:p>
    <w:p w14:paraId="17A32074" w14:textId="0EA56D43" w:rsidR="00F55621" w:rsidRDefault="002B2CCC" w:rsidP="00F55621">
      <w:pPr>
        <w:jc w:val="left"/>
        <w:rPr>
          <w:rFonts w:cs="Arial"/>
          <w:b/>
          <w:szCs w:val="20"/>
        </w:rPr>
      </w:pPr>
      <w:r w:rsidRPr="00636275">
        <w:rPr>
          <w:rFonts w:cs="Arial"/>
          <w:b/>
          <w:szCs w:val="20"/>
        </w:rPr>
        <w:t>Estado</w:t>
      </w:r>
      <w:r w:rsidR="00EF108B" w:rsidRPr="00636275">
        <w:rPr>
          <w:rFonts w:cs="Arial"/>
          <w:b/>
          <w:szCs w:val="20"/>
        </w:rPr>
        <w:t xml:space="preserve"> de cambios en el p</w:t>
      </w:r>
      <w:r w:rsidRPr="00636275">
        <w:rPr>
          <w:rFonts w:cs="Arial"/>
          <w:b/>
          <w:szCs w:val="20"/>
        </w:rPr>
        <w:t>atrimonio neto correspondiente al ejercicio anual terminado</w:t>
      </w:r>
      <w:r w:rsidR="000D5687" w:rsidRPr="00636275">
        <w:rPr>
          <w:rFonts w:cs="Arial"/>
          <w:b/>
          <w:szCs w:val="20"/>
        </w:rPr>
        <w:t xml:space="preserve"> el 31 de diciembre de 20</w:t>
      </w:r>
      <w:r w:rsidR="00F36A71">
        <w:rPr>
          <w:rFonts w:cs="Arial"/>
          <w:b/>
          <w:szCs w:val="20"/>
        </w:rPr>
        <w:t>2</w:t>
      </w:r>
      <w:r w:rsidR="00135A39">
        <w:rPr>
          <w:rFonts w:cs="Arial"/>
          <w:b/>
          <w:szCs w:val="20"/>
        </w:rPr>
        <w:t>4</w:t>
      </w:r>
    </w:p>
    <w:p w14:paraId="0D07D75D" w14:textId="77777777" w:rsidR="0016564F" w:rsidRPr="00636275" w:rsidRDefault="0016564F" w:rsidP="00F55621">
      <w:pPr>
        <w:jc w:val="left"/>
        <w:rPr>
          <w:rFonts w:cs="Arial"/>
          <w:b/>
          <w:szCs w:val="20"/>
        </w:rPr>
      </w:pPr>
    </w:p>
    <w:p w14:paraId="6820AE45" w14:textId="663CCA21" w:rsidR="00EF108B" w:rsidRDefault="002B2CCC" w:rsidP="00F55621">
      <w:pPr>
        <w:jc w:val="left"/>
        <w:rPr>
          <w:rFonts w:cs="Arial"/>
          <w:b/>
          <w:sz w:val="16"/>
          <w:szCs w:val="16"/>
        </w:rPr>
      </w:pPr>
      <w:r w:rsidRPr="00636275">
        <w:rPr>
          <w:rFonts w:cs="Arial"/>
          <w:b/>
          <w:sz w:val="16"/>
          <w:szCs w:val="16"/>
        </w:rPr>
        <w:t>(Expresado</w:t>
      </w:r>
      <w:r w:rsidR="003920BA" w:rsidRPr="00636275">
        <w:rPr>
          <w:rFonts w:cs="Arial"/>
          <w:b/>
          <w:sz w:val="16"/>
          <w:szCs w:val="16"/>
        </w:rPr>
        <w:t xml:space="preserve"> en</w:t>
      </w:r>
      <w:r w:rsidR="00EF108B" w:rsidRPr="00636275">
        <w:rPr>
          <w:rFonts w:cs="Arial"/>
          <w:b/>
          <w:sz w:val="16"/>
          <w:szCs w:val="16"/>
        </w:rPr>
        <w:t xml:space="preserve"> euros)</w:t>
      </w:r>
    </w:p>
    <w:p w14:paraId="45233F6F" w14:textId="77777777" w:rsidR="00AB46B6" w:rsidRPr="00D750B3" w:rsidRDefault="00AB46B6" w:rsidP="00F55621">
      <w:pPr>
        <w:jc w:val="left"/>
        <w:rPr>
          <w:rFonts w:cs="Arial"/>
          <w:b/>
          <w:sz w:val="16"/>
          <w:szCs w:val="16"/>
        </w:rPr>
      </w:pPr>
    </w:p>
    <w:p w14:paraId="48CA8CBE" w14:textId="77777777" w:rsidR="00F55621" w:rsidRPr="00D750B3" w:rsidRDefault="00F55621" w:rsidP="00F55621">
      <w:pPr>
        <w:jc w:val="left"/>
        <w:rPr>
          <w:rFonts w:cs="Arial"/>
          <w:b/>
          <w:sz w:val="16"/>
          <w:szCs w:val="16"/>
        </w:rPr>
      </w:pPr>
    </w:p>
    <w:p w14:paraId="1D8642A5" w14:textId="4A33DAEE" w:rsidR="00F55621" w:rsidRPr="00D750B3" w:rsidRDefault="00EF108B" w:rsidP="00EF419E">
      <w:pPr>
        <w:tabs>
          <w:tab w:val="left" w:pos="240"/>
        </w:tabs>
        <w:jc w:val="left"/>
        <w:rPr>
          <w:rFonts w:cs="Arial"/>
          <w:b/>
          <w:szCs w:val="20"/>
        </w:rPr>
      </w:pPr>
      <w:r w:rsidRPr="00E51EE2">
        <w:rPr>
          <w:rFonts w:cs="Arial"/>
          <w:b/>
          <w:szCs w:val="20"/>
        </w:rPr>
        <w:t>B)</w:t>
      </w:r>
      <w:r w:rsidRPr="00E51EE2">
        <w:rPr>
          <w:rFonts w:cs="Arial"/>
          <w:b/>
          <w:szCs w:val="20"/>
        </w:rPr>
        <w:tab/>
      </w:r>
      <w:r w:rsidR="007279CF" w:rsidRPr="00E51EE2">
        <w:rPr>
          <w:rFonts w:cs="Arial"/>
          <w:b/>
          <w:szCs w:val="20"/>
        </w:rPr>
        <w:t>Estado total de cambios en el patrimonio neto correspondiente al ejercicio anual terminado el 31 de diciembre de 20</w:t>
      </w:r>
      <w:r w:rsidR="00F36A71" w:rsidRPr="00E51EE2">
        <w:rPr>
          <w:rFonts w:cs="Arial"/>
          <w:b/>
          <w:szCs w:val="20"/>
        </w:rPr>
        <w:t>2</w:t>
      </w:r>
      <w:r w:rsidR="00135A39">
        <w:rPr>
          <w:rFonts w:cs="Arial"/>
          <w:b/>
          <w:szCs w:val="20"/>
        </w:rPr>
        <w:t>4</w:t>
      </w:r>
    </w:p>
    <w:p w14:paraId="42B783D1" w14:textId="77777777" w:rsidR="003324BB" w:rsidRPr="007E79B2" w:rsidRDefault="003324BB" w:rsidP="00FB485D">
      <w:pPr>
        <w:tabs>
          <w:tab w:val="left" w:pos="5814"/>
        </w:tabs>
        <w:jc w:val="center"/>
        <w:rPr>
          <w:rFonts w:cs="Arial"/>
          <w:highlight w:val="yellow"/>
        </w:rPr>
      </w:pPr>
    </w:p>
    <w:bookmarkStart w:id="8" w:name="_MON_1674289018"/>
    <w:bookmarkEnd w:id="8"/>
    <w:p w14:paraId="1548B488" w14:textId="2074FF6E" w:rsidR="00FB485D" w:rsidRPr="007E79B2" w:rsidRDefault="00A53029" w:rsidP="00FB485D">
      <w:pPr>
        <w:tabs>
          <w:tab w:val="left" w:pos="5814"/>
        </w:tabs>
        <w:jc w:val="center"/>
        <w:rPr>
          <w:rFonts w:cs="Arial"/>
          <w:highlight w:val="yellow"/>
        </w:rPr>
      </w:pPr>
      <w:r w:rsidRPr="00527826">
        <w:rPr>
          <w:rFonts w:cs="Arial"/>
        </w:rPr>
        <w:object w:dxaOrig="14524" w:dyaOrig="6029" w14:anchorId="17D07269">
          <v:shape id="_x0000_i1028" type="#_x0000_t75" style="width:740.55pt;height:330.1pt" o:ole="">
            <v:imagedata r:id="rId19" o:title=""/>
          </v:shape>
          <o:OLEObject Type="Embed" ProgID="Excel.Sheet.12" ShapeID="_x0000_i1028" DrawAspect="Content" ObjectID="_1805087264" r:id="rId20"/>
        </w:object>
      </w:r>
    </w:p>
    <w:p w14:paraId="21428373" w14:textId="77777777" w:rsidR="00047166" w:rsidRPr="007E79B2" w:rsidRDefault="00047166" w:rsidP="003B722A">
      <w:pPr>
        <w:tabs>
          <w:tab w:val="left" w:pos="7797"/>
        </w:tabs>
        <w:rPr>
          <w:rFonts w:cs="Arial"/>
          <w:highlight w:val="yellow"/>
        </w:rPr>
        <w:sectPr w:rsidR="00047166" w:rsidRPr="007E79B2" w:rsidSect="00F335AB">
          <w:pgSz w:w="16840" w:h="11907" w:orient="landscape" w:code="9"/>
          <w:pgMar w:top="720" w:right="1134" w:bottom="1440" w:left="1134" w:header="1134" w:footer="567" w:gutter="0"/>
          <w:cols w:space="720"/>
          <w:docGrid w:linePitch="360"/>
        </w:sectPr>
      </w:pPr>
    </w:p>
    <w:p w14:paraId="0FB9958B" w14:textId="77777777" w:rsidR="00A91736" w:rsidRPr="00F355DB" w:rsidRDefault="0036594C" w:rsidP="00A91736">
      <w:pPr>
        <w:jc w:val="left"/>
        <w:rPr>
          <w:rFonts w:cs="Arial"/>
          <w:b/>
          <w:szCs w:val="20"/>
        </w:rPr>
      </w:pPr>
      <w:r w:rsidRPr="00F355DB">
        <w:rPr>
          <w:rFonts w:cs="Arial"/>
          <w:b/>
          <w:szCs w:val="20"/>
        </w:rPr>
        <w:lastRenderedPageBreak/>
        <w:t>GESTION DEL MEDIO RURAL DE CANARIAS, S.A. Unipersonal</w:t>
      </w:r>
    </w:p>
    <w:p w14:paraId="3F52F97B" w14:textId="5F3AC22E" w:rsidR="00065FB4" w:rsidRPr="005E387A" w:rsidRDefault="00D44CB0" w:rsidP="00A91736">
      <w:pPr>
        <w:jc w:val="left"/>
        <w:rPr>
          <w:rFonts w:cs="Arial"/>
          <w:b/>
          <w:szCs w:val="20"/>
        </w:rPr>
      </w:pPr>
      <w:r w:rsidRPr="005E387A">
        <w:rPr>
          <w:rFonts w:cs="Arial"/>
          <w:b/>
          <w:szCs w:val="20"/>
        </w:rPr>
        <w:t>Estado de flujos de efectivo correspondiente al ejercicio anual terminado el 31 de diciembre de 20</w:t>
      </w:r>
      <w:r w:rsidR="00EC01BA" w:rsidRPr="005E387A">
        <w:rPr>
          <w:rFonts w:cs="Arial"/>
          <w:b/>
          <w:szCs w:val="20"/>
        </w:rPr>
        <w:t>2</w:t>
      </w:r>
      <w:r w:rsidR="00135A39" w:rsidRPr="005E387A">
        <w:rPr>
          <w:rFonts w:cs="Arial"/>
          <w:b/>
          <w:szCs w:val="20"/>
        </w:rPr>
        <w:t>4</w:t>
      </w:r>
    </w:p>
    <w:p w14:paraId="7638549A" w14:textId="77777777" w:rsidR="003319B7" w:rsidRPr="00E946E6" w:rsidRDefault="002B2CCC" w:rsidP="00A91736">
      <w:pPr>
        <w:jc w:val="left"/>
        <w:rPr>
          <w:rFonts w:cs="Arial"/>
          <w:b/>
          <w:sz w:val="16"/>
          <w:szCs w:val="16"/>
        </w:rPr>
      </w:pPr>
      <w:r w:rsidRPr="005E387A">
        <w:rPr>
          <w:rFonts w:cs="Arial"/>
          <w:b/>
          <w:sz w:val="16"/>
          <w:szCs w:val="16"/>
        </w:rPr>
        <w:t>(Expresado</w:t>
      </w:r>
      <w:r w:rsidR="003920BA" w:rsidRPr="005E387A">
        <w:rPr>
          <w:rFonts w:cs="Arial"/>
          <w:b/>
          <w:sz w:val="16"/>
          <w:szCs w:val="16"/>
        </w:rPr>
        <w:t xml:space="preserve"> en</w:t>
      </w:r>
      <w:r w:rsidR="00D63768" w:rsidRPr="005E387A">
        <w:rPr>
          <w:rFonts w:cs="Arial"/>
          <w:b/>
          <w:sz w:val="16"/>
          <w:szCs w:val="16"/>
        </w:rPr>
        <w:t xml:space="preserve"> euros)</w:t>
      </w:r>
    </w:p>
    <w:p w14:paraId="6A128C3B" w14:textId="77777777" w:rsidR="00F34A6D" w:rsidRPr="00E946E6" w:rsidRDefault="00F34A6D" w:rsidP="00A91736">
      <w:pPr>
        <w:jc w:val="left"/>
        <w:rPr>
          <w:rFonts w:cs="Arial"/>
          <w:b/>
          <w:sz w:val="16"/>
          <w:szCs w:val="16"/>
        </w:rPr>
      </w:pPr>
    </w:p>
    <w:p w14:paraId="649AB00A" w14:textId="77777777" w:rsidR="00F34A6D" w:rsidRPr="007E79B2" w:rsidRDefault="00F34A6D" w:rsidP="00A91736">
      <w:pPr>
        <w:jc w:val="left"/>
        <w:rPr>
          <w:rFonts w:cs="Arial"/>
          <w:b/>
          <w:sz w:val="16"/>
          <w:szCs w:val="16"/>
          <w:highlight w:val="yellow"/>
        </w:rPr>
      </w:pPr>
    </w:p>
    <w:p w14:paraId="1D604C19" w14:textId="77777777" w:rsidR="008D2C80" w:rsidRPr="007E79B2" w:rsidRDefault="008D2C80" w:rsidP="00F14304">
      <w:pPr>
        <w:jc w:val="left"/>
        <w:rPr>
          <w:rFonts w:cs="Arial"/>
          <w:sz w:val="12"/>
          <w:szCs w:val="12"/>
          <w:highlight w:val="yellow"/>
        </w:rPr>
      </w:pPr>
    </w:p>
    <w:bookmarkStart w:id="9" w:name="_MON_1518427222"/>
    <w:bookmarkStart w:id="10" w:name="_MON_1390386809"/>
    <w:bookmarkEnd w:id="9"/>
    <w:bookmarkEnd w:id="10"/>
    <w:bookmarkStart w:id="11" w:name="_MON_1391584693"/>
    <w:bookmarkEnd w:id="11"/>
    <w:p w14:paraId="1254141B" w14:textId="5708C040" w:rsidR="00EA3914" w:rsidRPr="007E79B2" w:rsidRDefault="00825E9F" w:rsidP="009A318D">
      <w:pPr>
        <w:jc w:val="center"/>
        <w:rPr>
          <w:rFonts w:cs="Arial"/>
          <w:sz w:val="12"/>
          <w:szCs w:val="12"/>
          <w:highlight w:val="yellow"/>
        </w:rPr>
        <w:sectPr w:rsidR="00EA3914" w:rsidRPr="007E79B2" w:rsidSect="00EF07C9">
          <w:headerReference w:type="even" r:id="rId21"/>
          <w:headerReference w:type="default" r:id="rId22"/>
          <w:headerReference w:type="first" r:id="rId23"/>
          <w:pgSz w:w="11907" w:h="16840" w:code="9"/>
          <w:pgMar w:top="1797" w:right="1440" w:bottom="899" w:left="1440" w:header="1134" w:footer="567" w:gutter="0"/>
          <w:cols w:space="720"/>
          <w:docGrid w:linePitch="360"/>
        </w:sectPr>
      </w:pPr>
      <w:r w:rsidRPr="009565C5">
        <w:rPr>
          <w:rFonts w:cs="Arial"/>
          <w:sz w:val="12"/>
          <w:szCs w:val="12"/>
        </w:rPr>
        <w:object w:dxaOrig="12093" w:dyaOrig="12945" w14:anchorId="32C1EA08">
          <v:shape id="_x0000_i1029" type="#_x0000_t75" style="width:461pt;height:527.4pt" o:ole="">
            <v:imagedata r:id="rId24" o:title=""/>
          </v:shape>
          <o:OLEObject Type="Embed" ProgID="Excel.Sheet.8" ShapeID="_x0000_i1029" DrawAspect="Content" ObjectID="_1805087265" r:id="rId25"/>
        </w:object>
      </w:r>
    </w:p>
    <w:p w14:paraId="3E940C0D" w14:textId="77777777" w:rsidR="00CB4F6C" w:rsidRPr="00C806D7" w:rsidRDefault="005455E0" w:rsidP="009A318D">
      <w:pPr>
        <w:spacing w:before="360"/>
        <w:rPr>
          <w:rFonts w:cs="Arial"/>
          <w:b/>
        </w:rPr>
      </w:pPr>
      <w:r w:rsidRPr="00C806D7">
        <w:rPr>
          <w:rFonts w:cs="Arial"/>
          <w:b/>
        </w:rPr>
        <w:lastRenderedPageBreak/>
        <w:t>1.</w:t>
      </w:r>
      <w:r w:rsidRPr="00C806D7">
        <w:rPr>
          <w:rFonts w:cs="Arial"/>
          <w:b/>
        </w:rPr>
        <w:tab/>
      </w:r>
      <w:r w:rsidR="00CB4F6C" w:rsidRPr="00C806D7">
        <w:rPr>
          <w:rFonts w:cs="Arial"/>
          <w:b/>
        </w:rPr>
        <w:t>ACTIVIDAD DE LA EMPRESA</w:t>
      </w:r>
    </w:p>
    <w:p w14:paraId="051D6B67" w14:textId="77777777" w:rsidR="00B21838" w:rsidRDefault="004113E0" w:rsidP="004113E0">
      <w:pPr>
        <w:widowControl w:val="0"/>
        <w:autoSpaceDE w:val="0"/>
        <w:autoSpaceDN w:val="0"/>
        <w:adjustRightInd w:val="0"/>
        <w:spacing w:before="240"/>
        <w:rPr>
          <w:rFonts w:cs="Arial"/>
          <w:color w:val="000000"/>
        </w:rPr>
      </w:pPr>
      <w:r w:rsidRPr="00C806D7">
        <w:rPr>
          <w:rFonts w:cs="Arial"/>
          <w:color w:val="000000"/>
        </w:rPr>
        <w:t xml:space="preserve">Gestión del Medio Rural de Canarias, S.A. Unipersonal </w:t>
      </w:r>
      <w:r w:rsidR="00D610B2" w:rsidRPr="00C806D7">
        <w:rPr>
          <w:rFonts w:cs="Arial"/>
          <w:color w:val="000000"/>
        </w:rPr>
        <w:t>(e</w:t>
      </w:r>
      <w:r w:rsidRPr="00C806D7">
        <w:rPr>
          <w:rFonts w:cs="Arial"/>
          <w:color w:val="000000"/>
        </w:rPr>
        <w:t xml:space="preserve">n adelante, la Sociedad), fue constituida en Santa Cruz de Tenerife el día 4 de </w:t>
      </w:r>
      <w:r w:rsidR="008672B9">
        <w:rPr>
          <w:rFonts w:cs="Arial"/>
          <w:color w:val="000000"/>
        </w:rPr>
        <w:t>n</w:t>
      </w:r>
      <w:r w:rsidRPr="00C806D7">
        <w:rPr>
          <w:rFonts w:cs="Arial"/>
          <w:color w:val="000000"/>
        </w:rPr>
        <w:t>oviembre de 1.986</w:t>
      </w:r>
      <w:r w:rsidR="002F5291">
        <w:rPr>
          <w:rFonts w:cs="Arial"/>
          <w:color w:val="000000"/>
        </w:rPr>
        <w:t>, está inscrita en el Registro Mercantil de Santa Cruz de Tenerife, al Tomo 430, Libro 238 de la sección 3ª, Folio 33, Hoja Registral TF-3.027, Inscripción 1ª.</w:t>
      </w:r>
    </w:p>
    <w:p w14:paraId="54ADFBC0" w14:textId="77777777" w:rsidR="004113E0" w:rsidRPr="00C806D7" w:rsidRDefault="00013559" w:rsidP="004113E0">
      <w:pPr>
        <w:widowControl w:val="0"/>
        <w:autoSpaceDE w:val="0"/>
        <w:autoSpaceDN w:val="0"/>
        <w:adjustRightInd w:val="0"/>
        <w:spacing w:before="240"/>
        <w:rPr>
          <w:rFonts w:cs="Arial"/>
          <w:color w:val="000000"/>
        </w:rPr>
      </w:pPr>
      <w:r w:rsidRPr="00B21838">
        <w:rPr>
          <w:rFonts w:cs="Arial"/>
          <w:color w:val="000000"/>
        </w:rPr>
        <w:t>S</w:t>
      </w:r>
      <w:r w:rsidR="00EA3914" w:rsidRPr="00B21838">
        <w:rPr>
          <w:rFonts w:cs="Arial"/>
          <w:color w:val="000000"/>
        </w:rPr>
        <w:t xml:space="preserve">u </w:t>
      </w:r>
      <w:r w:rsidR="004113E0" w:rsidRPr="00B21838">
        <w:rPr>
          <w:rFonts w:cs="Arial"/>
          <w:color w:val="000000"/>
        </w:rPr>
        <w:t xml:space="preserve">domicilio </w:t>
      </w:r>
      <w:r w:rsidR="00D610B2" w:rsidRPr="00B21838">
        <w:rPr>
          <w:rFonts w:cs="Arial"/>
          <w:color w:val="000000"/>
        </w:rPr>
        <w:t>social</w:t>
      </w:r>
      <w:r w:rsidR="00EA3914" w:rsidRPr="00B21838">
        <w:rPr>
          <w:rFonts w:cs="Arial"/>
          <w:color w:val="000000"/>
        </w:rPr>
        <w:t xml:space="preserve"> es</w:t>
      </w:r>
      <w:r w:rsidRPr="00B21838">
        <w:rPr>
          <w:rFonts w:cs="Arial"/>
          <w:color w:val="000000"/>
        </w:rPr>
        <w:t>tá ubicado en el</w:t>
      </w:r>
      <w:r w:rsidR="00D610B2" w:rsidRPr="00B21838">
        <w:rPr>
          <w:rFonts w:cs="Arial"/>
          <w:color w:val="000000"/>
        </w:rPr>
        <w:t xml:space="preserve"> Polígono El Mayorazgo, Calle </w:t>
      </w:r>
      <w:r w:rsidR="00C806D7" w:rsidRPr="00B21838">
        <w:rPr>
          <w:rFonts w:cs="Arial"/>
          <w:color w:val="000000"/>
        </w:rPr>
        <w:t>Jesús Hernández Guzmán</w:t>
      </w:r>
      <w:r w:rsidR="004113E0" w:rsidRPr="00B21838">
        <w:rPr>
          <w:rFonts w:cs="Arial"/>
          <w:color w:val="000000"/>
        </w:rPr>
        <w:t>, nº 2</w:t>
      </w:r>
      <w:r w:rsidR="00D610B2" w:rsidRPr="00B21838">
        <w:rPr>
          <w:rFonts w:cs="Arial"/>
          <w:color w:val="000000"/>
        </w:rPr>
        <w:t xml:space="preserve">, </w:t>
      </w:r>
      <w:r w:rsidR="00C806D7" w:rsidRPr="00B21838">
        <w:rPr>
          <w:rFonts w:cs="Arial"/>
          <w:color w:val="000000"/>
        </w:rPr>
        <w:t>planta C</w:t>
      </w:r>
      <w:r w:rsidR="004113E0" w:rsidRPr="00B21838">
        <w:rPr>
          <w:rFonts w:cs="Arial"/>
          <w:color w:val="000000"/>
        </w:rPr>
        <w:t>, de la c</w:t>
      </w:r>
      <w:r w:rsidR="00B21838" w:rsidRPr="00B21838">
        <w:rPr>
          <w:rFonts w:cs="Arial"/>
          <w:color w:val="000000"/>
        </w:rPr>
        <w:t>iudad de Santa Cruz de Tenerife, según</w:t>
      </w:r>
      <w:r w:rsidR="00B21838">
        <w:rPr>
          <w:rFonts w:cs="Arial"/>
          <w:color w:val="000000"/>
        </w:rPr>
        <w:t xml:space="preserve"> la modificación acordada en Junta General Extraordinaria y Universal, </w:t>
      </w:r>
      <w:r w:rsidR="00B21838" w:rsidRPr="00416A14">
        <w:rPr>
          <w:rFonts w:cs="Arial"/>
          <w:color w:val="000000"/>
        </w:rPr>
        <w:t xml:space="preserve">celebrada el </w:t>
      </w:r>
      <w:r w:rsidR="00416A14" w:rsidRPr="00416A14">
        <w:rPr>
          <w:rFonts w:cs="Arial"/>
          <w:color w:val="000000"/>
        </w:rPr>
        <w:t>1</w:t>
      </w:r>
      <w:r w:rsidR="00B21838" w:rsidRPr="00416A14">
        <w:rPr>
          <w:rFonts w:cs="Arial"/>
          <w:color w:val="000000"/>
        </w:rPr>
        <w:t xml:space="preserve"> de </w:t>
      </w:r>
      <w:r w:rsidR="00416A14" w:rsidRPr="00416A14">
        <w:rPr>
          <w:rFonts w:cs="Arial"/>
          <w:color w:val="000000"/>
        </w:rPr>
        <w:t>octubre d</w:t>
      </w:r>
      <w:r w:rsidR="00B21838" w:rsidRPr="00416A14">
        <w:rPr>
          <w:rFonts w:cs="Arial"/>
          <w:color w:val="000000"/>
        </w:rPr>
        <w:t>e 2014.</w:t>
      </w:r>
    </w:p>
    <w:p w14:paraId="319FCA78" w14:textId="77777777" w:rsidR="004113E0" w:rsidRPr="00C806D7" w:rsidRDefault="004113E0" w:rsidP="004113E0">
      <w:pPr>
        <w:widowControl w:val="0"/>
        <w:autoSpaceDE w:val="0"/>
        <w:autoSpaceDN w:val="0"/>
        <w:adjustRightInd w:val="0"/>
        <w:spacing w:before="240"/>
        <w:rPr>
          <w:rFonts w:cs="Arial"/>
          <w:color w:val="000000"/>
        </w:rPr>
      </w:pPr>
      <w:r w:rsidRPr="00C806D7">
        <w:rPr>
          <w:rFonts w:cs="Arial"/>
          <w:color w:val="000000"/>
        </w:rPr>
        <w:t>En Junta General Extraordinaria y Universal, celebrada el</w:t>
      </w:r>
      <w:r w:rsidR="00F14304" w:rsidRPr="00C806D7">
        <w:rPr>
          <w:rFonts w:cs="Arial"/>
          <w:color w:val="000000"/>
        </w:rPr>
        <w:t xml:space="preserve"> 23 de abril de 2007, se acordó</w:t>
      </w:r>
      <w:r w:rsidRPr="00C806D7">
        <w:rPr>
          <w:rFonts w:cs="Arial"/>
          <w:color w:val="000000"/>
        </w:rPr>
        <w:t xml:space="preserve"> modificar la denominación social, sustituyendo “Mercados en Origen de Productos Agrarios de Canarias, S.A.U” por “Gestión del Medio Rural de Canarias, S.A.U”.</w:t>
      </w:r>
    </w:p>
    <w:p w14:paraId="5A272FA4" w14:textId="77777777" w:rsidR="00B41441" w:rsidRPr="00B41441" w:rsidRDefault="00B41441" w:rsidP="00B41441">
      <w:pPr>
        <w:widowControl w:val="0"/>
        <w:autoSpaceDE w:val="0"/>
        <w:autoSpaceDN w:val="0"/>
        <w:adjustRightInd w:val="0"/>
        <w:spacing w:before="240"/>
        <w:rPr>
          <w:rFonts w:cs="Arial"/>
          <w:i/>
          <w:color w:val="000000"/>
          <w:lang w:val="es-ES"/>
        </w:rPr>
      </w:pPr>
      <w:bookmarkStart w:id="12" w:name="_Hlk65834709"/>
      <w:r w:rsidRPr="00B41441">
        <w:rPr>
          <w:rFonts w:cs="Arial"/>
          <w:iCs/>
          <w:color w:val="000000"/>
          <w:lang w:val="es-ES"/>
        </w:rPr>
        <w:t>El Gobierno de Canarias a</w:t>
      </w:r>
      <w:r w:rsidR="00F4733D">
        <w:rPr>
          <w:rFonts w:cs="Arial"/>
          <w:iCs/>
          <w:color w:val="000000"/>
          <w:lang w:val="es-ES"/>
        </w:rPr>
        <w:t>prob</w:t>
      </w:r>
      <w:r w:rsidRPr="00B41441">
        <w:rPr>
          <w:rFonts w:cs="Arial"/>
          <w:iCs/>
          <w:color w:val="000000"/>
          <w:lang w:val="es-ES"/>
        </w:rPr>
        <w:t>ó</w:t>
      </w:r>
      <w:r w:rsidR="00F4733D">
        <w:rPr>
          <w:rFonts w:cs="Arial"/>
          <w:iCs/>
          <w:color w:val="000000"/>
          <w:lang w:val="es-ES"/>
        </w:rPr>
        <w:t>,</w:t>
      </w:r>
      <w:r w:rsidRPr="00B41441">
        <w:rPr>
          <w:rFonts w:cs="Arial"/>
          <w:iCs/>
          <w:color w:val="000000"/>
          <w:lang w:val="es-ES"/>
        </w:rPr>
        <w:t xml:space="preserve"> en sesión celebrada el 29 de diciembre de 2020</w:t>
      </w:r>
      <w:r w:rsidR="00F4733D">
        <w:rPr>
          <w:rFonts w:cs="Arial"/>
          <w:iCs/>
          <w:color w:val="000000"/>
          <w:lang w:val="es-ES"/>
        </w:rPr>
        <w:t>, los siguientes acuerdos</w:t>
      </w:r>
      <w:r w:rsidRPr="00B41441">
        <w:rPr>
          <w:rFonts w:cs="Arial"/>
          <w:iCs/>
          <w:color w:val="000000"/>
          <w:lang w:val="es-ES"/>
        </w:rPr>
        <w:t>:</w:t>
      </w:r>
      <w:r w:rsidRPr="00B41441">
        <w:rPr>
          <w:rFonts w:cs="Arial"/>
          <w:i/>
          <w:color w:val="000000"/>
          <w:lang w:val="es-ES"/>
        </w:rPr>
        <w:t xml:space="preserve"> </w:t>
      </w:r>
    </w:p>
    <w:p w14:paraId="2C5B7C73"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Primero. - Reconocer expresamente a la entidad mercantil pública “Gestión del Medio Rural de Canarias, S.A.U.”, la condición de medio propio personificado de la Administración Pública de la Comunidad Autónoma de Canarias, de sus organismos autónomos y demás entidades de derecho público vinculadas o dependientes de la misma, de conformidad con lo dispuesto en el artículo 32.2 de la Ley 9/2017, de 8 de noviembre, de Contratos del Sector Público.</w:t>
      </w:r>
    </w:p>
    <w:bookmarkEnd w:id="12"/>
    <w:p w14:paraId="4CC20166"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 xml:space="preserve">Segundo. - Autorizar el sentido del voto favorable de la persona representante de la Administración Pública de la Comunidad Autónoma de Canarias en la Junta General de la sociedad mercantil pública “Gestión del Medio Rural de Canarias, S.A.U.” para acordar la modificación de los artículos 1º y 7º, apartados A) y G) de sus Estatutos Sociales, que quedarán redactados en los términos indicados en </w:t>
      </w:r>
      <w:r w:rsidR="00F4733D">
        <w:rPr>
          <w:rFonts w:cs="Arial"/>
          <w:i/>
          <w:color w:val="000000"/>
          <w:lang w:val="es-ES"/>
        </w:rPr>
        <w:t>un</w:t>
      </w:r>
      <w:r w:rsidRPr="00B41441">
        <w:rPr>
          <w:rFonts w:cs="Arial"/>
          <w:i/>
          <w:color w:val="000000"/>
          <w:lang w:val="es-ES"/>
        </w:rPr>
        <w:t xml:space="preserve"> anexo.</w:t>
      </w:r>
    </w:p>
    <w:p w14:paraId="5743A882" w14:textId="34001641" w:rsidR="00137E9B" w:rsidRPr="00CF1518" w:rsidRDefault="00137E9B" w:rsidP="00CF1518">
      <w:pPr>
        <w:widowControl w:val="0"/>
        <w:autoSpaceDE w:val="0"/>
        <w:autoSpaceDN w:val="0"/>
        <w:adjustRightInd w:val="0"/>
        <w:spacing w:before="240"/>
        <w:rPr>
          <w:rFonts w:cs="Arial"/>
          <w:color w:val="000000"/>
        </w:rPr>
      </w:pPr>
      <w:r w:rsidRPr="00CF1518">
        <w:rPr>
          <w:rFonts w:cs="Arial"/>
          <w:color w:val="000000"/>
        </w:rPr>
        <w:t>Asimismo, en sesión celebrada el 31 de julio de 2024</w:t>
      </w:r>
      <w:r w:rsidR="00CF1518">
        <w:rPr>
          <w:rFonts w:cs="Arial"/>
          <w:color w:val="000000"/>
        </w:rPr>
        <w:t>, acordó</w:t>
      </w:r>
      <w:r w:rsidR="00CF1518" w:rsidRPr="00CF1518">
        <w:rPr>
          <w:rFonts w:cs="Arial"/>
          <w:color w:val="000000"/>
        </w:rPr>
        <w:t xml:space="preserve"> la modificación de los artículos 1º, 7º y 28º de sus Estatutos Sociales, al objeto de incorporar el reconocimiento de dicha sociedad como medio propio personificado del Cabildo Insular de Tenerife.</w:t>
      </w:r>
    </w:p>
    <w:p w14:paraId="49BC73AE" w14:textId="203D6848" w:rsidR="004971CC" w:rsidRPr="00114F76" w:rsidRDefault="00B41441" w:rsidP="009810C0">
      <w:pPr>
        <w:widowControl w:val="0"/>
        <w:autoSpaceDE w:val="0"/>
        <w:autoSpaceDN w:val="0"/>
        <w:adjustRightInd w:val="0"/>
        <w:spacing w:before="240"/>
        <w:rPr>
          <w:rFonts w:cs="Arial"/>
          <w:color w:val="000000"/>
        </w:rPr>
      </w:pPr>
      <w:r w:rsidRPr="00114F76">
        <w:rPr>
          <w:rFonts w:cs="Arial"/>
          <w:color w:val="000000"/>
        </w:rPr>
        <w:t>En consecuencia, l</w:t>
      </w:r>
      <w:r w:rsidR="00E32F66" w:rsidRPr="00114F76">
        <w:rPr>
          <w:rFonts w:cs="Arial"/>
          <w:color w:val="000000"/>
        </w:rPr>
        <w:t>a</w:t>
      </w:r>
      <w:r w:rsidR="004971CC" w:rsidRPr="00114F76">
        <w:rPr>
          <w:rFonts w:cs="Arial"/>
          <w:color w:val="000000"/>
        </w:rPr>
        <w:t xml:space="preserve"> Junta General Extraordinaria y Universal</w:t>
      </w:r>
      <w:r w:rsidR="00F4733D" w:rsidRPr="00114F76">
        <w:rPr>
          <w:rFonts w:cs="Arial"/>
          <w:color w:val="000000"/>
        </w:rPr>
        <w:t xml:space="preserve"> de la Sociedad</w:t>
      </w:r>
      <w:r w:rsidR="004971CC" w:rsidRPr="00114F76">
        <w:rPr>
          <w:rFonts w:cs="Arial"/>
          <w:color w:val="000000"/>
        </w:rPr>
        <w:t xml:space="preserve">, </w:t>
      </w:r>
      <w:r w:rsidR="00E32F66" w:rsidRPr="00114F76">
        <w:rPr>
          <w:rFonts w:cs="Arial"/>
          <w:color w:val="000000"/>
        </w:rPr>
        <w:t xml:space="preserve">en sesión </w:t>
      </w:r>
      <w:r w:rsidR="004971CC" w:rsidRPr="00114F76">
        <w:rPr>
          <w:rFonts w:cs="Arial"/>
          <w:color w:val="000000"/>
        </w:rPr>
        <w:t xml:space="preserve">celebrada el </w:t>
      </w:r>
      <w:r w:rsidR="00CF1518" w:rsidRPr="00114F76">
        <w:rPr>
          <w:rFonts w:cs="Arial"/>
          <w:color w:val="000000"/>
        </w:rPr>
        <w:t>6 de agosto de 2024</w:t>
      </w:r>
      <w:r w:rsidR="004971CC" w:rsidRPr="00114F76">
        <w:rPr>
          <w:rFonts w:cs="Arial"/>
          <w:color w:val="000000"/>
        </w:rPr>
        <w:t xml:space="preserve">, acordó modificar el </w:t>
      </w:r>
      <w:r w:rsidR="00E32F66" w:rsidRPr="00114F76">
        <w:rPr>
          <w:rFonts w:cs="Arial"/>
          <w:color w:val="000000"/>
        </w:rPr>
        <w:t>A</w:t>
      </w:r>
      <w:r w:rsidR="004971CC" w:rsidRPr="00114F76">
        <w:rPr>
          <w:rFonts w:cs="Arial"/>
          <w:color w:val="000000"/>
        </w:rPr>
        <w:t>rtículo 1</w:t>
      </w:r>
      <w:r w:rsidR="00E32F66" w:rsidRPr="00114F76">
        <w:rPr>
          <w:rFonts w:cs="Arial"/>
          <w:color w:val="000000"/>
        </w:rPr>
        <w:t>º</w:t>
      </w:r>
      <w:r w:rsidR="004971CC" w:rsidRPr="00114F76">
        <w:rPr>
          <w:rFonts w:cs="Arial"/>
          <w:color w:val="000000"/>
        </w:rPr>
        <w:t xml:space="preserve"> de </w:t>
      </w:r>
      <w:r w:rsidR="00E32F66" w:rsidRPr="00114F76">
        <w:rPr>
          <w:rFonts w:cs="Arial"/>
          <w:color w:val="000000"/>
        </w:rPr>
        <w:t>su</w:t>
      </w:r>
      <w:r w:rsidR="004971CC" w:rsidRPr="00114F76">
        <w:rPr>
          <w:rFonts w:cs="Arial"/>
          <w:color w:val="000000"/>
        </w:rPr>
        <w:t>s Estatutos, quedando redactado de la siguiente forma:</w:t>
      </w:r>
    </w:p>
    <w:p w14:paraId="4AE256A4" w14:textId="67514121" w:rsidR="00CF1518" w:rsidRPr="00CF1518" w:rsidRDefault="00CF1518" w:rsidP="00CF1518">
      <w:pPr>
        <w:widowControl w:val="0"/>
        <w:autoSpaceDE w:val="0"/>
        <w:autoSpaceDN w:val="0"/>
        <w:adjustRightInd w:val="0"/>
        <w:spacing w:before="240"/>
        <w:rPr>
          <w:rFonts w:cs="Arial"/>
          <w:i/>
          <w:iCs/>
          <w:color w:val="000000"/>
          <w:lang w:val="es-ES"/>
        </w:rPr>
      </w:pPr>
      <w:r w:rsidRPr="00114F76">
        <w:rPr>
          <w:rFonts w:cs="Arial"/>
          <w:b/>
          <w:i/>
          <w:iCs/>
          <w:color w:val="000000"/>
          <w:lang w:val="es-ES"/>
        </w:rPr>
        <w:t>“</w:t>
      </w:r>
      <w:r w:rsidRPr="00CF1518">
        <w:rPr>
          <w:rFonts w:cs="Arial"/>
          <w:b/>
          <w:i/>
          <w:iCs/>
          <w:color w:val="000000"/>
          <w:lang w:val="es-ES"/>
        </w:rPr>
        <w:t xml:space="preserve">ARTÍCULO 1º.- DENOMINACIÓN SOCIAL.- </w:t>
      </w:r>
      <w:r w:rsidRPr="00CF1518">
        <w:rPr>
          <w:rFonts w:cs="Arial"/>
          <w:i/>
          <w:iCs/>
          <w:color w:val="000000"/>
          <w:lang w:val="es-ES"/>
        </w:rPr>
        <w:t>Con la denominación de Gestión del Medio Rural de Canarias, Sociedad Anónima Unipersonal, se crea una sociedad anónima para el cumplimiento del objeto social expresado en el artículo 7.</w:t>
      </w:r>
    </w:p>
    <w:p w14:paraId="6822A44C"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b/>
          <w:i/>
          <w:iCs/>
          <w:color w:val="000000"/>
          <w:lang w:val="es-ES"/>
        </w:rPr>
        <w:t xml:space="preserve">GESTIÓN DEL MEDIO RURAL DE CANARIAS, S.A.U. </w:t>
      </w:r>
      <w:r w:rsidRPr="00CF1518">
        <w:rPr>
          <w:rFonts w:cs="Arial"/>
          <w:i/>
          <w:iCs/>
          <w:color w:val="000000"/>
          <w:lang w:val="es-ES"/>
        </w:rPr>
        <w:t>ostenta la consideración de medio propio personificado respecto de la Administración Pública de la Comunidad Autónoma de Canarias, sus organismos autónomos y demás entidades de derecho público vinculadas y dependientes de la misma,</w:t>
      </w:r>
      <w:r w:rsidRPr="00CF1518">
        <w:rPr>
          <w:rFonts w:cs="Arial"/>
          <w:bCs/>
          <w:i/>
          <w:iCs/>
          <w:color w:val="000000"/>
          <w:lang w:val="es-ES"/>
        </w:rPr>
        <w:t xml:space="preserve"> así como del Cabildo Insular de Tenerife.</w:t>
      </w:r>
      <w:r w:rsidRPr="00CF1518">
        <w:rPr>
          <w:rFonts w:cs="Arial"/>
          <w:i/>
          <w:iCs/>
          <w:color w:val="000000"/>
          <w:lang w:val="es-ES"/>
        </w:rPr>
        <w:t xml:space="preserve"> Siendo la Comunidad Autónoma de Canarias titular del 100 % de su capital social y a la que se encuentra vinculada y adscrita en cuanto entidad integrada en el sector público institucional autonómico.</w:t>
      </w:r>
    </w:p>
    <w:p w14:paraId="1405E5D5" w14:textId="456F7161"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bCs/>
          <w:i/>
          <w:iCs/>
          <w:color w:val="000000"/>
          <w:lang w:val="es-ES"/>
        </w:rPr>
        <w:t xml:space="preserve">Los poderes adjudicadores señalados en el apartado </w:t>
      </w:r>
      <w:r w:rsidR="00114F76" w:rsidRPr="00114F76">
        <w:rPr>
          <w:rFonts w:cs="Arial"/>
          <w:bCs/>
          <w:i/>
          <w:iCs/>
          <w:color w:val="000000"/>
          <w:lang w:val="es-ES"/>
        </w:rPr>
        <w:t>anterior</w:t>
      </w:r>
      <w:r w:rsidRPr="00CF1518">
        <w:rPr>
          <w:rFonts w:cs="Arial"/>
          <w:bCs/>
          <w:i/>
          <w:iCs/>
          <w:color w:val="000000"/>
          <w:lang w:val="es-ES"/>
        </w:rPr>
        <w:t xml:space="preserve"> </w:t>
      </w:r>
      <w:r w:rsidRPr="00CF1518">
        <w:rPr>
          <w:rFonts w:cs="Arial"/>
          <w:i/>
          <w:iCs/>
          <w:color w:val="000000"/>
          <w:lang w:val="es-ES"/>
        </w:rPr>
        <w:t xml:space="preserve">podrán conferir encargos a GESTIÓN DEL MEDIO RURAL DE CANARIAS, S.A.U. para la prestación de cualesquiera actividades comprendidas en el objeto social descrito en el artículo 7 de los presentes Estatutos. A tal efecto, la </w:t>
      </w:r>
      <w:r w:rsidRPr="00CF1518">
        <w:rPr>
          <w:rFonts w:cs="Arial"/>
          <w:i/>
          <w:iCs/>
          <w:noProof/>
          <w:color w:val="000000"/>
          <w:lang w:val="es-ES"/>
        </w:rPr>
        <w:drawing>
          <wp:inline distT="0" distB="0" distL="0" distR="0" wp14:anchorId="53942AE3" wp14:editId="763E15F6">
            <wp:extent cx="3044" cy="3044"/>
            <wp:effectExtent l="0" t="0" r="0" b="0"/>
            <wp:docPr id="6" name="Picture 7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4" cy="3044"/>
                    </a:xfrm>
                    <a:prstGeom prst="rect">
                      <a:avLst/>
                    </a:prstGeom>
                    <a:noFill/>
                    <a:ln>
                      <a:noFill/>
                      <a:prstDash/>
                    </a:ln>
                  </pic:spPr>
                </pic:pic>
              </a:graphicData>
            </a:graphic>
          </wp:inline>
        </w:drawing>
      </w:r>
      <w:r w:rsidRPr="00CF1518">
        <w:rPr>
          <w:rFonts w:cs="Arial"/>
          <w:i/>
          <w:iCs/>
          <w:color w:val="000000"/>
          <w:lang w:val="es-ES"/>
        </w:rPr>
        <w:t xml:space="preserve">sociedad cuenta con los medios materiales y personales suficientes e idóneos para </w:t>
      </w:r>
      <w:r w:rsidRPr="00CF1518">
        <w:rPr>
          <w:rFonts w:cs="Arial"/>
          <w:i/>
          <w:iCs/>
          <w:noProof/>
          <w:color w:val="000000"/>
          <w:lang w:val="es-ES"/>
        </w:rPr>
        <w:drawing>
          <wp:inline distT="0" distB="0" distL="0" distR="0" wp14:anchorId="46DD73DB" wp14:editId="38B26B35">
            <wp:extent cx="3044" cy="3044"/>
            <wp:effectExtent l="0" t="0" r="0" b="0"/>
            <wp:docPr id="7" name="Picture 7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4" cy="3044"/>
                    </a:xfrm>
                    <a:prstGeom prst="rect">
                      <a:avLst/>
                    </a:prstGeom>
                    <a:noFill/>
                    <a:ln>
                      <a:noFill/>
                      <a:prstDash/>
                    </a:ln>
                  </pic:spPr>
                </pic:pic>
              </a:graphicData>
            </a:graphic>
          </wp:inline>
        </w:drawing>
      </w:r>
      <w:r w:rsidRPr="00CF1518">
        <w:rPr>
          <w:rFonts w:cs="Arial"/>
          <w:i/>
          <w:iCs/>
          <w:color w:val="000000"/>
          <w:lang w:val="es-ES"/>
        </w:rPr>
        <w:t>realizar los encargos que le sean conferidos en el sector de actividad que se corresponda con su objeto social.</w:t>
      </w:r>
    </w:p>
    <w:p w14:paraId="414ED746"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lastRenderedPageBreak/>
        <w:t>Dichos encargos se someten al siguiente régimen jurídico:</w:t>
      </w:r>
    </w:p>
    <w:p w14:paraId="08A5696E"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tienen naturaleza administrativa y no contractual, siendo, a todos los efectos, de carácter interno, dependiente y subordinado, y se regirán por la normativa vigente en cada momento que sea de aplicación a los encargos a los medios propios personificados.</w:t>
      </w:r>
    </w:p>
    <w:p w14:paraId="4CCA6200"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se formalizarán por escrito, a través de los instrumentos jurídicos pertinentes que deberán incluir la descripción detallada de la actividad o actividades a realizar, valoración, compensación, plazo de ejecución, así como las condiciones en las que han de realizarse, debiendo ser objeto de publicación, cuando así proceda, en la Plataforma de Contratación del Sector Público.</w:t>
      </w:r>
    </w:p>
    <w:p w14:paraId="0B1E66F4"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que se formalicen por LA COMUNIDAD AUTÓNOMA DE CANARIAS podrán efectuarse directamente por ésta.</w:t>
      </w:r>
    </w:p>
    <w:p w14:paraId="28606706"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que se realicen, una vez comunicados formalmente a la sociedad, serán de ejecución obligatoria por GESTIÓN DEL MEDIO RURAL DE CANARIAS, S.A.U., que recibirá por ello la compensación prevista en el apartado siguiente.</w:t>
      </w:r>
    </w:p>
    <w:p w14:paraId="155D167E"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 xml:space="preserve">La compensación económica por la prestación de las actividades objeto de encargo se regirá por las tarifas aprobadas para la respectiva prestación por la Administración Pública de la Comunidad Autónoma de Canarias o, en su defecto, las que figuren en los convenios, programas, instrumentos similares u objetivos y estrategias aprobadas por el respectivo poder adjudicador y GESTIÓN DEL MEDIO RURAL DE CANARIAS, S.A.U. en cuyo marco o ejecución se realice el encargo. Dichas tarifas se calcularán de manera que representen los costes reales de realización y su aplicación a las unidades producidas servirá de justificante de la inversión o de los servicios realizados, garantizando siempre el cumplimiento del principio de sostenibilidad financiera. </w:t>
      </w:r>
    </w:p>
    <w:p w14:paraId="2F3493ED"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GESTIÓN DEL MEDIO RURAL DE CANARIAS, S.A.U. no podrá realizar funciones que impliquen ejercicio de autoridad, y tampoco funciones que requieran el ejercicio de potestades administrativas, salvo atribución expresa por Ley en este último caso, ni podrá perseguir intereses contrarios a los fines e intereses públicos de la Administración Pública de la Comunidad Autónoma de Canarias, no pudiendo implicar, en ningún caso, atribución de funciones o facultades sujetas a Derecho Administrativo propias de la Administración.</w:t>
      </w:r>
    </w:p>
    <w:p w14:paraId="0F1BAEC3"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En el ámbito de los encargos realizados, GESTIÓN DEL MEDIO RURAL DE CANARIAS, S.A.U. podrá celebrar negocios jurídicos con terceros, con sujeción a las siguientes reglas:</w:t>
      </w:r>
    </w:p>
    <w:p w14:paraId="340C2324"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1) El contrato quedará sometido al régimen establecido para los contratos de poderes adjudicadores que no tengan la consideración de Administración Pública.</w:t>
      </w:r>
    </w:p>
    <w:p w14:paraId="50ACEDAD"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2) El importe de las prestaciones parciales que GESTIÓN DEL MEDIO RURAL DE CANARIAS, S.A.U. pueda contratar con terceros no excederá del 50% de la cuantía del encargo.</w:t>
      </w:r>
    </w:p>
    <w:p w14:paraId="1526D846"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GESTIÓN DEL MEDIO RURAL DE CANARIAS, S.A.U. no podrá participar en procedimientos de licitación para la adjudicación de contratos que sean convocados por las Administraciones Públicas de las que es medio propio personificado. No obstante, cuando no concurra ningún licitador podrá encargársele, en función de su objeto social, la ejecución de la actividad objeto de licitación pública.</w:t>
      </w:r>
    </w:p>
    <w:p w14:paraId="0E43A16A" w14:textId="7E7A9151"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En la Memoria de las Cuentas Anuales se incluirá un apartado referente a la justificación del cumplimiento relativo a que la parte esencial de la actividad de la sociedad se realiza en más del 80% para los poderes adjudicadores de los que es medio propio personificado. Este extremo ha de ser verificado por los auditores en su auditoría anual de las cuentas.</w:t>
      </w:r>
      <w:r w:rsidR="00114F76">
        <w:rPr>
          <w:rFonts w:cs="Arial"/>
          <w:i/>
          <w:iCs/>
          <w:color w:val="000000"/>
          <w:lang w:val="es-ES"/>
        </w:rPr>
        <w:t>”</w:t>
      </w:r>
    </w:p>
    <w:p w14:paraId="71F49189" w14:textId="77777777" w:rsidR="00CF1518" w:rsidRPr="00114F76" w:rsidRDefault="00CF1518" w:rsidP="009810C0">
      <w:pPr>
        <w:widowControl w:val="0"/>
        <w:autoSpaceDE w:val="0"/>
        <w:autoSpaceDN w:val="0"/>
        <w:adjustRightInd w:val="0"/>
        <w:spacing w:before="240"/>
        <w:rPr>
          <w:rFonts w:cs="Arial"/>
          <w:color w:val="000000"/>
        </w:rPr>
      </w:pPr>
    </w:p>
    <w:p w14:paraId="2DD2E4FA" w14:textId="6CDA392C" w:rsidR="004113E0" w:rsidRDefault="004113E0" w:rsidP="004971CC">
      <w:pPr>
        <w:widowControl w:val="0"/>
        <w:autoSpaceDE w:val="0"/>
        <w:autoSpaceDN w:val="0"/>
        <w:adjustRightInd w:val="0"/>
        <w:spacing w:before="240"/>
        <w:rPr>
          <w:rFonts w:cs="Arial"/>
          <w:color w:val="000000"/>
        </w:rPr>
      </w:pPr>
      <w:r w:rsidRPr="00C806D7">
        <w:rPr>
          <w:rFonts w:cs="Arial"/>
          <w:color w:val="000000"/>
        </w:rPr>
        <w:lastRenderedPageBreak/>
        <w:t>Su objeto social es el comercio al mayor de frutas, verduras, queso, tabaco y vino</w:t>
      </w:r>
      <w:r w:rsidR="001E1783">
        <w:rPr>
          <w:rFonts w:cs="Arial"/>
          <w:color w:val="000000"/>
        </w:rPr>
        <w:t>,</w:t>
      </w:r>
      <w:r w:rsidRPr="00C806D7">
        <w:rPr>
          <w:rFonts w:cs="Arial"/>
          <w:color w:val="000000"/>
        </w:rPr>
        <w:t xml:space="preserve"> </w:t>
      </w:r>
      <w:r w:rsidR="005F4864">
        <w:rPr>
          <w:rFonts w:cs="Arial"/>
          <w:color w:val="000000"/>
        </w:rPr>
        <w:t>así como</w:t>
      </w:r>
      <w:r w:rsidRPr="00C806D7">
        <w:rPr>
          <w:rFonts w:cs="Arial"/>
          <w:color w:val="000000"/>
        </w:rPr>
        <w:t xml:space="preserve"> la ejecución de obras, trabajos, asistencias técnicas, consultorías y prestación de servicios</w:t>
      </w:r>
      <w:r w:rsidR="005F4864">
        <w:rPr>
          <w:rFonts w:cs="Arial"/>
          <w:color w:val="000000"/>
        </w:rPr>
        <w:t xml:space="preserve"> principalmente a su accionista único</w:t>
      </w:r>
      <w:r w:rsidRPr="00C806D7">
        <w:rPr>
          <w:rFonts w:cs="Arial"/>
          <w:color w:val="000000"/>
        </w:rPr>
        <w:t>.</w:t>
      </w:r>
    </w:p>
    <w:p w14:paraId="5502DEA2" w14:textId="77777777" w:rsidR="00BA264E" w:rsidRDefault="00D71218" w:rsidP="007B5194">
      <w:pPr>
        <w:widowControl w:val="0"/>
        <w:autoSpaceDE w:val="0"/>
        <w:autoSpaceDN w:val="0"/>
        <w:adjustRightInd w:val="0"/>
        <w:spacing w:before="240"/>
        <w:rPr>
          <w:rFonts w:cs="Arial"/>
          <w:color w:val="000000"/>
        </w:rPr>
      </w:pPr>
      <w:r>
        <w:rPr>
          <w:rFonts w:cs="Arial"/>
          <w:color w:val="000000"/>
        </w:rPr>
        <w:t>El Gobierno de Canarias es el accionista único de la Sociedad.</w:t>
      </w:r>
    </w:p>
    <w:p w14:paraId="7A817AD9" w14:textId="77777777" w:rsidR="00BA264E" w:rsidRDefault="00BA264E" w:rsidP="007B5194">
      <w:pPr>
        <w:widowControl w:val="0"/>
        <w:autoSpaceDE w:val="0"/>
        <w:autoSpaceDN w:val="0"/>
        <w:adjustRightInd w:val="0"/>
        <w:spacing w:before="240"/>
        <w:rPr>
          <w:rFonts w:cs="Arial"/>
          <w:b/>
        </w:rPr>
      </w:pPr>
    </w:p>
    <w:p w14:paraId="3CC05E5F" w14:textId="6A23CD22" w:rsidR="00CB4F6C" w:rsidRPr="00C806D7" w:rsidRDefault="00BC7148" w:rsidP="007B5194">
      <w:pPr>
        <w:widowControl w:val="0"/>
        <w:autoSpaceDE w:val="0"/>
        <w:autoSpaceDN w:val="0"/>
        <w:adjustRightInd w:val="0"/>
        <w:spacing w:before="240"/>
        <w:rPr>
          <w:rFonts w:cs="Arial"/>
          <w:b/>
        </w:rPr>
      </w:pPr>
      <w:r w:rsidRPr="00C806D7">
        <w:rPr>
          <w:rFonts w:cs="Arial"/>
          <w:b/>
        </w:rPr>
        <w:t>2.</w:t>
      </w:r>
      <w:r w:rsidRPr="00C806D7">
        <w:rPr>
          <w:rFonts w:cs="Arial"/>
          <w:b/>
        </w:rPr>
        <w:tab/>
      </w:r>
      <w:r w:rsidR="00CB4F6C" w:rsidRPr="00C806D7">
        <w:rPr>
          <w:rFonts w:cs="Arial"/>
          <w:b/>
        </w:rPr>
        <w:t>BASES DE PRESENTACIÓN DE LAS CUENTAS ANUALES</w:t>
      </w:r>
    </w:p>
    <w:p w14:paraId="3AF1250C" w14:textId="5E86E58A" w:rsidR="00AC2586" w:rsidRPr="00C806D7" w:rsidRDefault="00AC2586" w:rsidP="00AC2586">
      <w:pPr>
        <w:widowControl w:val="0"/>
        <w:autoSpaceDE w:val="0"/>
        <w:autoSpaceDN w:val="0"/>
        <w:adjustRightInd w:val="0"/>
        <w:spacing w:before="240"/>
        <w:rPr>
          <w:rFonts w:cs="Arial"/>
          <w:color w:val="000000"/>
          <w:szCs w:val="20"/>
        </w:rPr>
      </w:pPr>
      <w:r w:rsidRPr="00C806D7">
        <w:rPr>
          <w:rFonts w:cs="Arial"/>
          <w:color w:val="000000"/>
          <w:szCs w:val="20"/>
        </w:rPr>
        <w:t xml:space="preserve">Las cuentas anuales se han preparado de </w:t>
      </w:r>
      <w:r w:rsidRPr="007C6506">
        <w:rPr>
          <w:rFonts w:cs="Arial"/>
          <w:color w:val="000000"/>
          <w:szCs w:val="20"/>
        </w:rPr>
        <w:t xml:space="preserve">acuerdo con el Plan General de Contabilidad aprobado por el Real Decreto 1514/2007, de 16 de noviembre, </w:t>
      </w:r>
      <w:r w:rsidR="00683DCE" w:rsidRPr="007C6506">
        <w:rPr>
          <w:rFonts w:cs="Arial"/>
          <w:color w:val="000000"/>
          <w:szCs w:val="20"/>
          <w:lang w:val="es-ES"/>
        </w:rPr>
        <w:t xml:space="preserve">el cual desde su publicación ha sido </w:t>
      </w:r>
      <w:r w:rsidR="00FF1351" w:rsidRPr="007C6506">
        <w:rPr>
          <w:rFonts w:cs="Arial"/>
          <w:color w:val="000000"/>
          <w:szCs w:val="20"/>
          <w:lang w:val="es-ES"/>
        </w:rPr>
        <w:t>objeto</w:t>
      </w:r>
      <w:r w:rsidR="00683DCE" w:rsidRPr="007C6506">
        <w:rPr>
          <w:rFonts w:cs="Arial"/>
          <w:color w:val="000000"/>
          <w:szCs w:val="20"/>
          <w:lang w:val="es-ES"/>
        </w:rPr>
        <w:t xml:space="preserve"> de varias modificaciones, la última de ellas mediante el Real Decreto 1/2021, de 12 de enero, y sus normas de desarrollo, así como con el resto de la legislación mercantil vigente.</w:t>
      </w:r>
    </w:p>
    <w:p w14:paraId="50272296" w14:textId="77777777" w:rsidR="00B0327E" w:rsidRPr="00C806D7" w:rsidRDefault="00B0327E" w:rsidP="00B0327E">
      <w:pPr>
        <w:pStyle w:val="Textoindependiente"/>
        <w:spacing w:before="240"/>
        <w:rPr>
          <w:rFonts w:ascii="Arial" w:hAnsi="Arial" w:cs="Arial"/>
          <w:sz w:val="20"/>
        </w:rPr>
      </w:pPr>
      <w:r w:rsidRPr="00C806D7">
        <w:rPr>
          <w:rFonts w:ascii="Arial" w:hAnsi="Arial" w:cs="Arial"/>
          <w:sz w:val="20"/>
        </w:rPr>
        <w:t xml:space="preserve">Las cuentas anuales han sido formuladas por los Administradores de la Sociedad para su sometimiento a la aprobación de </w:t>
      </w:r>
      <w:r w:rsidR="00D71218">
        <w:rPr>
          <w:rFonts w:ascii="Arial" w:hAnsi="Arial" w:cs="Arial"/>
          <w:sz w:val="20"/>
        </w:rPr>
        <w:t>su Accionista Único</w:t>
      </w:r>
      <w:r w:rsidRPr="00C806D7">
        <w:rPr>
          <w:rFonts w:ascii="Arial" w:hAnsi="Arial" w:cs="Arial"/>
          <w:sz w:val="20"/>
        </w:rPr>
        <w:t>, estimándose que serán aprobadas sin ninguna modificación.</w:t>
      </w:r>
    </w:p>
    <w:p w14:paraId="0866BD8C" w14:textId="77777777" w:rsidR="004113E0" w:rsidRPr="00C806D7" w:rsidRDefault="00877988" w:rsidP="004113E0">
      <w:pPr>
        <w:widowControl w:val="0"/>
        <w:autoSpaceDE w:val="0"/>
        <w:autoSpaceDN w:val="0"/>
        <w:adjustRightInd w:val="0"/>
        <w:spacing w:before="240"/>
        <w:rPr>
          <w:rFonts w:cs="Arial"/>
          <w:b/>
        </w:rPr>
      </w:pPr>
      <w:r w:rsidRPr="00C806D7">
        <w:rPr>
          <w:rFonts w:cs="Arial"/>
          <w:color w:val="000000"/>
        </w:rPr>
        <w:t>Las cifras incluidas en las cuentas anua</w:t>
      </w:r>
      <w:r w:rsidR="004113E0" w:rsidRPr="00C806D7">
        <w:rPr>
          <w:rFonts w:cs="Arial"/>
          <w:color w:val="000000"/>
        </w:rPr>
        <w:t>les están expresadas en</w:t>
      </w:r>
      <w:r w:rsidRPr="00C806D7">
        <w:rPr>
          <w:rFonts w:cs="Arial"/>
          <w:color w:val="000000"/>
        </w:rPr>
        <w:t xml:space="preserve"> euros, salvo que se indique lo contrario.</w:t>
      </w:r>
    </w:p>
    <w:p w14:paraId="68824A4C" w14:textId="77777777" w:rsidR="00CB4F6C" w:rsidRPr="00C806D7" w:rsidRDefault="00CB4F6C" w:rsidP="00767F9B">
      <w:pPr>
        <w:widowControl w:val="0"/>
        <w:numPr>
          <w:ilvl w:val="1"/>
          <w:numId w:val="2"/>
        </w:numPr>
        <w:autoSpaceDE w:val="0"/>
        <w:autoSpaceDN w:val="0"/>
        <w:adjustRightInd w:val="0"/>
        <w:spacing w:before="240"/>
        <w:rPr>
          <w:rFonts w:cs="Arial"/>
          <w:color w:val="000000"/>
        </w:rPr>
      </w:pPr>
      <w:r w:rsidRPr="00C806D7">
        <w:rPr>
          <w:rFonts w:cs="Arial"/>
          <w:b/>
        </w:rPr>
        <w:t>Imagen fiel</w:t>
      </w:r>
    </w:p>
    <w:p w14:paraId="6969266A" w14:textId="77777777" w:rsidR="00AC2586" w:rsidRPr="00C806D7" w:rsidRDefault="00AC2586" w:rsidP="00AC2586">
      <w:pPr>
        <w:pStyle w:val="Textoindependiente"/>
        <w:spacing w:before="240"/>
        <w:rPr>
          <w:rFonts w:ascii="Arial" w:hAnsi="Arial" w:cs="Arial"/>
          <w:sz w:val="20"/>
        </w:rPr>
      </w:pPr>
      <w:r w:rsidRPr="00C806D7">
        <w:rPr>
          <w:rFonts w:ascii="Arial" w:hAnsi="Arial" w:cs="Arial"/>
          <w:sz w:val="20"/>
        </w:rPr>
        <w:t xml:space="preserve">Las cuentas anuales se han preparado a partir de los registros auxiliares de contabilidad de la Sociedad, habiéndose aplicado las disposiciones legales vigentes en materia contable con la finalidad de mostrar la imagen fiel del patrimonio, de la situación financiera y de los resultados de la Sociedad. El estado de flujos de efectivo se ha </w:t>
      </w:r>
      <w:r w:rsidR="00A63923" w:rsidRPr="00C806D7">
        <w:rPr>
          <w:rFonts w:ascii="Arial" w:hAnsi="Arial" w:cs="Arial"/>
          <w:sz w:val="20"/>
        </w:rPr>
        <w:t>preparado</w:t>
      </w:r>
      <w:r w:rsidRPr="00C806D7">
        <w:rPr>
          <w:rFonts w:ascii="Arial" w:hAnsi="Arial" w:cs="Arial"/>
          <w:sz w:val="20"/>
        </w:rPr>
        <w:t xml:space="preserve"> con el fin de informar verazmente sobre el origen y la utilización de los activos monetarios representativos de efectivo y otros activos líquidos equivalentes de la Sociedad. </w:t>
      </w:r>
    </w:p>
    <w:p w14:paraId="01F3A46D" w14:textId="77777777" w:rsidR="00FF11FB" w:rsidRPr="0078027C" w:rsidRDefault="00FF11FB" w:rsidP="00767F9B">
      <w:pPr>
        <w:numPr>
          <w:ilvl w:val="1"/>
          <w:numId w:val="2"/>
        </w:numPr>
        <w:tabs>
          <w:tab w:val="left" w:pos="840"/>
        </w:tabs>
        <w:spacing w:before="240"/>
        <w:rPr>
          <w:rFonts w:cs="Arial"/>
          <w:b/>
        </w:rPr>
      </w:pPr>
      <w:r w:rsidRPr="0078027C">
        <w:rPr>
          <w:rFonts w:cs="Arial"/>
          <w:b/>
        </w:rPr>
        <w:t>Comparación de la información</w:t>
      </w:r>
    </w:p>
    <w:p w14:paraId="7AF79CFF" w14:textId="421A98D5" w:rsidR="00E64A03" w:rsidRPr="0078027C" w:rsidRDefault="008369EC" w:rsidP="00E64A03">
      <w:pPr>
        <w:pStyle w:val="Textoindependiente"/>
        <w:spacing w:before="240"/>
        <w:rPr>
          <w:rFonts w:ascii="Arial" w:hAnsi="Arial" w:cs="Arial"/>
          <w:sz w:val="20"/>
        </w:rPr>
      </w:pPr>
      <w:r w:rsidRPr="0078027C">
        <w:rPr>
          <w:rFonts w:ascii="Arial" w:hAnsi="Arial" w:cs="Arial"/>
          <w:sz w:val="20"/>
        </w:rPr>
        <w:t xml:space="preserve">De acuerdo con la legislación mercantil, se presenta, a efectos comparativos, con cada una de las partidas del balance, de la cuenta de pérdidas y ganancias, del estado de cambios en el patrimonio neto y del estado de flujos de efectivo, además de las cifras del ejercicio </w:t>
      </w:r>
      <w:r w:rsidR="00CF42F5" w:rsidRPr="0078027C">
        <w:rPr>
          <w:rFonts w:ascii="Arial" w:hAnsi="Arial" w:cs="Arial"/>
          <w:sz w:val="20"/>
        </w:rPr>
        <w:t>20</w:t>
      </w:r>
      <w:r w:rsidR="00AC40AD" w:rsidRPr="0078027C">
        <w:rPr>
          <w:rFonts w:ascii="Arial" w:hAnsi="Arial" w:cs="Arial"/>
          <w:sz w:val="20"/>
        </w:rPr>
        <w:t>2</w:t>
      </w:r>
      <w:r w:rsidR="00001D49">
        <w:rPr>
          <w:rFonts w:ascii="Arial" w:hAnsi="Arial" w:cs="Arial"/>
          <w:sz w:val="20"/>
        </w:rPr>
        <w:t>4</w:t>
      </w:r>
      <w:r w:rsidRPr="0078027C">
        <w:rPr>
          <w:rFonts w:ascii="Arial" w:hAnsi="Arial" w:cs="Arial"/>
          <w:sz w:val="20"/>
        </w:rPr>
        <w:t>, las correspondientes al ejercicio anterior.</w:t>
      </w:r>
      <w:r w:rsidR="00B0327E" w:rsidRPr="0078027C">
        <w:rPr>
          <w:rFonts w:ascii="Arial" w:hAnsi="Arial" w:cs="Arial"/>
          <w:sz w:val="20"/>
        </w:rPr>
        <w:t xml:space="preserve"> En la memori</w:t>
      </w:r>
      <w:r w:rsidRPr="0078027C">
        <w:rPr>
          <w:rFonts w:ascii="Arial" w:hAnsi="Arial" w:cs="Arial"/>
          <w:sz w:val="20"/>
        </w:rPr>
        <w:t>a también se incluye información cuantitativa del ejercicio anterior, salvo cuando una norma contable específicamente establece que no es necesario.</w:t>
      </w:r>
    </w:p>
    <w:p w14:paraId="084ED3B6" w14:textId="0C82EAD9" w:rsidR="00EA3914" w:rsidRPr="00E46B31" w:rsidRDefault="00AD12B2" w:rsidP="00AA0D49">
      <w:pPr>
        <w:tabs>
          <w:tab w:val="left" w:pos="840"/>
        </w:tabs>
        <w:spacing w:before="240"/>
        <w:rPr>
          <w:rFonts w:cs="Arial"/>
          <w:b/>
        </w:rPr>
      </w:pPr>
      <w:r w:rsidRPr="00E46B31">
        <w:rPr>
          <w:rFonts w:cs="Arial"/>
          <w:b/>
        </w:rPr>
        <w:t>2.3</w:t>
      </w:r>
      <w:r w:rsidR="007C7C64">
        <w:rPr>
          <w:rFonts w:cs="Arial"/>
          <w:b/>
        </w:rPr>
        <w:tab/>
      </w:r>
      <w:r w:rsidR="00EA3914" w:rsidRPr="00E46B31">
        <w:rPr>
          <w:rFonts w:cs="Arial"/>
          <w:b/>
        </w:rPr>
        <w:t>Principio de empresa en funcionamiento</w:t>
      </w:r>
    </w:p>
    <w:p w14:paraId="531C94E7" w14:textId="77777777" w:rsidR="00EA3914" w:rsidRDefault="00E46B31" w:rsidP="003360A3">
      <w:pPr>
        <w:widowControl w:val="0"/>
        <w:spacing w:before="240"/>
        <w:rPr>
          <w:rFonts w:cs="Arial"/>
          <w:szCs w:val="20"/>
        </w:rPr>
      </w:pPr>
      <w:r w:rsidRPr="00B84D9D">
        <w:rPr>
          <w:rFonts w:cs="Arial"/>
          <w:szCs w:val="20"/>
          <w:lang w:eastAsia="es-ES"/>
        </w:rPr>
        <w:t>L</w:t>
      </w:r>
      <w:r w:rsidR="003360A3" w:rsidRPr="00B84D9D">
        <w:rPr>
          <w:rFonts w:cs="Arial"/>
          <w:szCs w:val="20"/>
          <w:lang w:eastAsia="es-ES"/>
        </w:rPr>
        <w:t xml:space="preserve">os Administradores manifiestan que la Sociedad cuenta con el apoyo financiero del accionista único para posibilitar el cumplimiento de los compromisos y de las obligaciones de pago contraídas por la Sociedad y asegurar la continuidad de sus operaciones, mediante la aportación de </w:t>
      </w:r>
      <w:r w:rsidR="00A90076" w:rsidRPr="00B84D9D">
        <w:rPr>
          <w:rFonts w:cs="Arial"/>
          <w:szCs w:val="20"/>
          <w:lang w:eastAsia="es-ES"/>
        </w:rPr>
        <w:t xml:space="preserve">capital, </w:t>
      </w:r>
      <w:r w:rsidR="003360A3" w:rsidRPr="00B84D9D">
        <w:rPr>
          <w:rFonts w:cs="Arial"/>
          <w:szCs w:val="20"/>
          <w:lang w:eastAsia="es-ES"/>
        </w:rPr>
        <w:t xml:space="preserve">subvenciones y/o transferencias en cada ejercicio, con cargo a los Presupuestos de la Comunidad Autónoma del Gobierno de Canarias. </w:t>
      </w:r>
      <w:r w:rsidR="00EA3914" w:rsidRPr="00B84D9D">
        <w:rPr>
          <w:rFonts w:cs="Arial"/>
          <w:szCs w:val="20"/>
        </w:rPr>
        <w:t xml:space="preserve">Por todo lo expuesto, </w:t>
      </w:r>
      <w:r w:rsidR="003360A3" w:rsidRPr="00B84D9D">
        <w:rPr>
          <w:rFonts w:cs="Arial"/>
          <w:szCs w:val="20"/>
        </w:rPr>
        <w:t>los Administradores de la Sociedad han preparado las cuentas anuales atendiendo al principio de empresa en funcionamiento.</w:t>
      </w:r>
    </w:p>
    <w:p w14:paraId="0A894D12" w14:textId="77777777" w:rsidR="00CB4F6C" w:rsidRPr="00E46B31" w:rsidRDefault="00AD12B2" w:rsidP="00AD12B2">
      <w:pPr>
        <w:tabs>
          <w:tab w:val="left" w:pos="840"/>
        </w:tabs>
        <w:spacing w:before="240"/>
        <w:rPr>
          <w:rFonts w:cs="Arial"/>
          <w:b/>
        </w:rPr>
      </w:pPr>
      <w:r w:rsidRPr="00E46B31">
        <w:rPr>
          <w:rFonts w:cs="Arial"/>
          <w:b/>
        </w:rPr>
        <w:t>2.4</w:t>
      </w:r>
      <w:r w:rsidRPr="00E46B31">
        <w:rPr>
          <w:rFonts w:cs="Arial"/>
          <w:b/>
        </w:rPr>
        <w:tab/>
      </w:r>
      <w:r w:rsidR="00CB4F6C" w:rsidRPr="00E46B31">
        <w:rPr>
          <w:rFonts w:cs="Arial"/>
          <w:b/>
        </w:rPr>
        <w:t>Aspectos críticos de la valoración y estimación de la incertidumbre</w:t>
      </w:r>
    </w:p>
    <w:p w14:paraId="505E5546" w14:textId="77777777" w:rsidR="00181E94" w:rsidRDefault="00181E94" w:rsidP="00181E94">
      <w:pPr>
        <w:rPr>
          <w:rFonts w:cs="Arial"/>
          <w:color w:val="000000"/>
          <w:szCs w:val="20"/>
        </w:rPr>
      </w:pPr>
    </w:p>
    <w:p w14:paraId="1B50A121" w14:textId="77777777" w:rsidR="00B16DD6" w:rsidRDefault="00181E94" w:rsidP="00B16DD6">
      <w:pPr>
        <w:rPr>
          <w:rFonts w:cs="Arial"/>
          <w:color w:val="000000"/>
          <w:szCs w:val="20"/>
        </w:rPr>
      </w:pPr>
      <w:r w:rsidRPr="0009225D">
        <w:rPr>
          <w:rFonts w:cs="Arial"/>
          <w:color w:val="000000"/>
          <w:szCs w:val="20"/>
        </w:rPr>
        <w:t>En la preparación de las cuentas anuales de la Sociedad, los Administradores han realizado estimaciones para determinar el valor contable de algunos de los activos, pasivos, ingresos y gastos y sobre los desgloses de los pasivos contingentes.</w:t>
      </w:r>
      <w:r w:rsidR="008741F7">
        <w:rPr>
          <w:rFonts w:cs="Arial"/>
          <w:color w:val="000000"/>
          <w:szCs w:val="20"/>
        </w:rPr>
        <w:t xml:space="preserve"> </w:t>
      </w:r>
      <w:r w:rsidRPr="0009225D">
        <w:rPr>
          <w:rFonts w:cs="Arial"/>
          <w:color w:val="000000"/>
          <w:szCs w:val="20"/>
        </w:rPr>
        <w:t>Estas estimaciones se han realizado sobre la base de la mejor información disponible al cierre del ejercicio. Sin embargo, dada la incertidumbre inherente a las mismas podrían surgir acontecimientos futuros que obliguen a modificarlas en los próximos ejercicios, lo cual se realizaría, en su caso, de forma prospectiva.</w:t>
      </w:r>
    </w:p>
    <w:p w14:paraId="144D553B" w14:textId="57C77E99" w:rsidR="00AC2586" w:rsidRPr="00E46B31" w:rsidRDefault="00AC2586" w:rsidP="00B16DD6">
      <w:pPr>
        <w:rPr>
          <w:rFonts w:cs="Arial"/>
          <w:szCs w:val="20"/>
        </w:rPr>
      </w:pPr>
      <w:r w:rsidRPr="00E46B31">
        <w:rPr>
          <w:rFonts w:cs="Arial"/>
          <w:szCs w:val="20"/>
        </w:rPr>
        <w:lastRenderedPageBreak/>
        <w:t>Los supuestos clave acerca del futuro, así como otros datos relevantes sobre la estimación de la incertidumbre en la fecha de cierre del ejercicio, que llevan asociados un riesgo importante de suponer cambios significativos en el valor de los activos o pasivos en el próximo ejercicio son los siguientes:</w:t>
      </w:r>
    </w:p>
    <w:p w14:paraId="36C4D12C" w14:textId="77777777" w:rsidR="00F10B68" w:rsidRDefault="00F10B68" w:rsidP="00930BDD">
      <w:pPr>
        <w:pStyle w:val="ESPACIO20"/>
        <w:spacing w:before="0"/>
        <w:rPr>
          <w:rFonts w:ascii="Arial" w:hAnsi="Arial" w:cs="Arial"/>
          <w:i/>
          <w:sz w:val="20"/>
          <w:u w:val="single"/>
        </w:rPr>
      </w:pPr>
    </w:p>
    <w:p w14:paraId="1A6D1EFF" w14:textId="52237ED0" w:rsidR="00FF11FB" w:rsidRPr="00E46B31" w:rsidRDefault="00FF11FB" w:rsidP="00930BDD">
      <w:pPr>
        <w:pStyle w:val="ESPACIO20"/>
        <w:spacing w:before="0"/>
        <w:rPr>
          <w:rFonts w:ascii="Arial" w:hAnsi="Arial" w:cs="Arial"/>
          <w:i/>
          <w:sz w:val="20"/>
          <w:u w:val="single"/>
        </w:rPr>
      </w:pPr>
      <w:r w:rsidRPr="00E46B31">
        <w:rPr>
          <w:rFonts w:ascii="Arial" w:hAnsi="Arial" w:cs="Arial"/>
          <w:i/>
          <w:sz w:val="20"/>
          <w:u w:val="single"/>
        </w:rPr>
        <w:t xml:space="preserve">Deterioro del valor de los activos no corrientes </w:t>
      </w:r>
    </w:p>
    <w:p w14:paraId="674AE1F1" w14:textId="192E9FEC" w:rsidR="0054688D" w:rsidRDefault="00FF11FB" w:rsidP="004114BA">
      <w:pPr>
        <w:spacing w:before="240"/>
        <w:rPr>
          <w:rFonts w:cs="Arial"/>
          <w:szCs w:val="20"/>
        </w:rPr>
      </w:pPr>
      <w:r w:rsidRPr="00E46B31">
        <w:rPr>
          <w:rFonts w:cs="Arial"/>
          <w:szCs w:val="20"/>
        </w:rPr>
        <w:t xml:space="preserve">La valoración de los activos no corrientes, distintos de los financieros, requiere la realización de estimaciones con el fin de determinar su valor </w:t>
      </w:r>
      <w:r w:rsidR="00181E94" w:rsidRPr="00E46B31">
        <w:rPr>
          <w:rFonts w:cs="Arial"/>
          <w:szCs w:val="20"/>
        </w:rPr>
        <w:t>r</w:t>
      </w:r>
      <w:r w:rsidR="00181E94">
        <w:rPr>
          <w:rFonts w:cs="Arial"/>
          <w:szCs w:val="20"/>
        </w:rPr>
        <w:t>ecuper</w:t>
      </w:r>
      <w:r w:rsidR="00181E94" w:rsidRPr="00E46B31">
        <w:rPr>
          <w:rFonts w:cs="Arial"/>
          <w:szCs w:val="20"/>
        </w:rPr>
        <w:t>able</w:t>
      </w:r>
      <w:r w:rsidRPr="00E46B31">
        <w:rPr>
          <w:rFonts w:cs="Arial"/>
          <w:szCs w:val="20"/>
        </w:rPr>
        <w:t xml:space="preserve">, a los efectos de </w:t>
      </w:r>
      <w:r w:rsidR="00A63923" w:rsidRPr="00E46B31">
        <w:rPr>
          <w:rFonts w:cs="Arial"/>
          <w:szCs w:val="20"/>
        </w:rPr>
        <w:t>e</w:t>
      </w:r>
      <w:r w:rsidRPr="00E46B31">
        <w:rPr>
          <w:rFonts w:cs="Arial"/>
          <w:szCs w:val="20"/>
        </w:rPr>
        <w:t>valuar un posible deterioro</w:t>
      </w:r>
      <w:r w:rsidR="00A90076">
        <w:rPr>
          <w:rFonts w:cs="Arial"/>
          <w:szCs w:val="20"/>
        </w:rPr>
        <w:t xml:space="preserve"> (Nota 4.3).</w:t>
      </w:r>
      <w:r w:rsidR="00AC2586" w:rsidRPr="00E46B31">
        <w:rPr>
          <w:rFonts w:cs="Arial"/>
          <w:szCs w:val="20"/>
        </w:rPr>
        <w:t xml:space="preserve"> </w:t>
      </w:r>
    </w:p>
    <w:p w14:paraId="7D3A2764" w14:textId="77777777" w:rsidR="00BA264E" w:rsidRDefault="00BA264E" w:rsidP="007977C7">
      <w:pPr>
        <w:pStyle w:val="ESPACIO20"/>
        <w:spacing w:before="0"/>
        <w:rPr>
          <w:rFonts w:ascii="Arial" w:hAnsi="Arial" w:cs="Arial"/>
          <w:i/>
          <w:sz w:val="20"/>
          <w:u w:val="single"/>
        </w:rPr>
      </w:pPr>
    </w:p>
    <w:p w14:paraId="0750CEA0" w14:textId="7BB5819C" w:rsidR="007977C7" w:rsidRPr="00142628" w:rsidRDefault="007977C7" w:rsidP="007977C7">
      <w:pPr>
        <w:pStyle w:val="ESPACIO20"/>
        <w:spacing w:before="0"/>
        <w:rPr>
          <w:rFonts w:ascii="Arial" w:hAnsi="Arial" w:cs="Arial"/>
          <w:i/>
          <w:sz w:val="20"/>
          <w:u w:val="single"/>
        </w:rPr>
      </w:pPr>
      <w:r w:rsidRPr="00142628">
        <w:rPr>
          <w:rFonts w:ascii="Arial" w:hAnsi="Arial" w:cs="Arial"/>
          <w:i/>
          <w:sz w:val="20"/>
          <w:u w:val="single"/>
        </w:rPr>
        <w:t>Activos por impuesto diferido</w:t>
      </w:r>
    </w:p>
    <w:p w14:paraId="4213846D" w14:textId="77777777" w:rsidR="007279CF" w:rsidRPr="00142628" w:rsidRDefault="007279CF" w:rsidP="007279CF">
      <w:pPr>
        <w:rPr>
          <w:rFonts w:cs="Arial"/>
        </w:rPr>
      </w:pPr>
    </w:p>
    <w:p w14:paraId="01CC1B33" w14:textId="6238A0E3" w:rsidR="007279CF" w:rsidRPr="00D265BE" w:rsidRDefault="007977C7" w:rsidP="007279CF">
      <w:pPr>
        <w:rPr>
          <w:rFonts w:cs="Arial"/>
        </w:rPr>
      </w:pPr>
      <w:r w:rsidRPr="00142628">
        <w:rPr>
          <w:rFonts w:cs="Arial"/>
        </w:rPr>
        <w:t xml:space="preserve">Los activos por impuesto diferido se registran para todas aquellas diferencias temporarias deducibles, bases imponibles negativas pendientes de compensar y deducciones pendientes de aplicar, para las que es probable que la Sociedad disponga de ganancias fiscales futuras que permitan la aplicación de estos activos. </w:t>
      </w:r>
      <w:r w:rsidR="00181E94" w:rsidRPr="00142628">
        <w:rPr>
          <w:rFonts w:cs="Arial"/>
        </w:rPr>
        <w:t xml:space="preserve">Los Administradores tienen que realizar estimaciones significativas para determinar el importe de los activos por </w:t>
      </w:r>
      <w:r w:rsidR="00181E94" w:rsidRPr="003F6DF2">
        <w:rPr>
          <w:rFonts w:cs="Arial"/>
          <w:shd w:val="clear" w:color="auto" w:fill="FFFFFF" w:themeFill="background1"/>
        </w:rPr>
        <w:t>impuesto diferido que se pueden registrar, teniendo en cuenta los importes y las fechas en las que se obtendrán las ganancias fiscales futuras y el periodo de reversión de las diferencias temporarias imponibles.</w:t>
      </w:r>
      <w:r w:rsidR="00D43C1C" w:rsidRPr="003F6DF2">
        <w:rPr>
          <w:rFonts w:cs="Arial"/>
          <w:shd w:val="clear" w:color="auto" w:fill="FFFFFF" w:themeFill="background1"/>
        </w:rPr>
        <w:t xml:space="preserve"> En este sentido</w:t>
      </w:r>
      <w:r w:rsidR="007279CF" w:rsidRPr="003F6DF2">
        <w:rPr>
          <w:rFonts w:cs="Arial"/>
          <w:bCs/>
          <w:szCs w:val="20"/>
          <w:shd w:val="clear" w:color="auto" w:fill="FFFFFF" w:themeFill="background1"/>
        </w:rPr>
        <w:t xml:space="preserve">, la Sociedad tiene bases imponibles negativas pendientes de </w:t>
      </w:r>
      <w:r w:rsidR="007279CF" w:rsidRPr="00274523">
        <w:rPr>
          <w:rFonts w:cs="Arial"/>
          <w:bCs/>
          <w:szCs w:val="20"/>
          <w:shd w:val="clear" w:color="auto" w:fill="FFFFFF" w:themeFill="background1"/>
        </w:rPr>
        <w:t xml:space="preserve">compensar </w:t>
      </w:r>
      <w:r w:rsidR="007279CF" w:rsidRPr="008C0FB2">
        <w:rPr>
          <w:rFonts w:cs="Arial"/>
          <w:bCs/>
          <w:szCs w:val="20"/>
          <w:shd w:val="clear" w:color="auto" w:fill="FFFFFF" w:themeFill="background1"/>
        </w:rPr>
        <w:t xml:space="preserve">por </w:t>
      </w:r>
      <w:bookmarkStart w:id="13" w:name="_Hlk95223920"/>
      <w:bookmarkStart w:id="14" w:name="_Hlk33095173"/>
      <w:r w:rsidR="008C0FB2" w:rsidRPr="008C0FB2">
        <w:rPr>
          <w:rFonts w:cs="Arial"/>
          <w:bCs/>
          <w:szCs w:val="20"/>
          <w:shd w:val="clear" w:color="auto" w:fill="FFFFFF" w:themeFill="background1"/>
        </w:rPr>
        <w:t xml:space="preserve">63.318.361,11 </w:t>
      </w:r>
      <w:r w:rsidR="00D44CB0" w:rsidRPr="008C0FB2">
        <w:rPr>
          <w:rFonts w:cs="Arial"/>
          <w:bCs/>
          <w:szCs w:val="20"/>
          <w:shd w:val="clear" w:color="auto" w:fill="FFFFFF" w:themeFill="background1"/>
        </w:rPr>
        <w:t>euros</w:t>
      </w:r>
      <w:bookmarkEnd w:id="13"/>
      <w:r w:rsidR="00D44CB0" w:rsidRPr="008C0FB2">
        <w:rPr>
          <w:rFonts w:cs="Arial"/>
          <w:bCs/>
          <w:szCs w:val="20"/>
          <w:shd w:val="clear" w:color="auto" w:fill="FFFFFF" w:themeFill="background1"/>
        </w:rPr>
        <w:t xml:space="preserve"> </w:t>
      </w:r>
      <w:bookmarkEnd w:id="14"/>
      <w:r w:rsidR="00D44CB0" w:rsidRPr="008C0FB2">
        <w:rPr>
          <w:rFonts w:cs="Arial"/>
          <w:bCs/>
          <w:szCs w:val="20"/>
          <w:shd w:val="clear" w:color="auto" w:fill="FFFFFF" w:themeFill="background1"/>
        </w:rPr>
        <w:t>(</w:t>
      </w:r>
      <w:r w:rsidR="00330A9A" w:rsidRPr="008C0FB2">
        <w:rPr>
          <w:rFonts w:cs="Arial"/>
          <w:bCs/>
          <w:szCs w:val="20"/>
          <w:shd w:val="clear" w:color="auto" w:fill="FFFFFF" w:themeFill="background1"/>
        </w:rPr>
        <w:t>59</w:t>
      </w:r>
      <w:r w:rsidR="00330A9A" w:rsidRPr="00274523">
        <w:rPr>
          <w:rFonts w:cs="Arial"/>
          <w:bCs/>
          <w:szCs w:val="20"/>
          <w:shd w:val="clear" w:color="auto" w:fill="FFFFFF" w:themeFill="background1"/>
        </w:rPr>
        <w:t xml:space="preserve">.359.332,30 euros </w:t>
      </w:r>
      <w:r w:rsidR="00D44CB0" w:rsidRPr="003F6DF2">
        <w:rPr>
          <w:rFonts w:cs="Arial"/>
          <w:bCs/>
          <w:szCs w:val="20"/>
          <w:shd w:val="clear" w:color="auto" w:fill="FFFFFF" w:themeFill="background1"/>
        </w:rPr>
        <w:t>en 20</w:t>
      </w:r>
      <w:r w:rsidR="00C05FC8" w:rsidRPr="003F6DF2">
        <w:rPr>
          <w:rFonts w:cs="Arial"/>
          <w:bCs/>
          <w:szCs w:val="20"/>
          <w:shd w:val="clear" w:color="auto" w:fill="FFFFFF" w:themeFill="background1"/>
        </w:rPr>
        <w:t>2</w:t>
      </w:r>
      <w:r w:rsidR="00330A9A">
        <w:rPr>
          <w:rFonts w:cs="Arial"/>
          <w:bCs/>
          <w:szCs w:val="20"/>
          <w:shd w:val="clear" w:color="auto" w:fill="FFFFFF" w:themeFill="background1"/>
        </w:rPr>
        <w:t>3</w:t>
      </w:r>
      <w:r w:rsidR="00D44CB0" w:rsidRPr="003F6DF2">
        <w:rPr>
          <w:rFonts w:cs="Arial"/>
          <w:bCs/>
          <w:szCs w:val="20"/>
          <w:shd w:val="clear" w:color="auto" w:fill="FFFFFF" w:themeFill="background1"/>
        </w:rPr>
        <w:t>),</w:t>
      </w:r>
      <w:r w:rsidR="00D43C1C" w:rsidRPr="003F6DF2">
        <w:rPr>
          <w:rFonts w:cs="Arial"/>
          <w:shd w:val="clear" w:color="auto" w:fill="FFFFFF" w:themeFill="background1"/>
        </w:rPr>
        <w:t xml:space="preserve"> para</w:t>
      </w:r>
      <w:r w:rsidRPr="003F6DF2">
        <w:rPr>
          <w:rFonts w:cs="Arial"/>
          <w:shd w:val="clear" w:color="auto" w:fill="FFFFFF" w:themeFill="background1"/>
        </w:rPr>
        <w:t xml:space="preserve"> las que no se han registrado los correspondientes activos por impuesto</w:t>
      </w:r>
      <w:r w:rsidRPr="000A1BDC">
        <w:rPr>
          <w:rFonts w:cs="Arial"/>
        </w:rPr>
        <w:t xml:space="preserve"> diferido</w:t>
      </w:r>
      <w:r w:rsidR="00A90076" w:rsidRPr="000A1BDC">
        <w:rPr>
          <w:rFonts w:cs="Arial"/>
        </w:rPr>
        <w:t xml:space="preserve"> (Nota 15.1).</w:t>
      </w:r>
    </w:p>
    <w:p w14:paraId="0E3C1F97" w14:textId="77777777" w:rsidR="00ED5BD8" w:rsidRDefault="00ED5BD8" w:rsidP="00930BDD">
      <w:pPr>
        <w:rPr>
          <w:rFonts w:cs="Arial"/>
          <w:b/>
          <w:highlight w:val="yellow"/>
        </w:rPr>
      </w:pPr>
    </w:p>
    <w:p w14:paraId="33948FD8" w14:textId="77777777" w:rsidR="00401087" w:rsidRPr="00E46B31" w:rsidRDefault="00401087" w:rsidP="00401087">
      <w:pPr>
        <w:outlineLvl w:val="0"/>
        <w:rPr>
          <w:rFonts w:cs="Arial"/>
          <w:i/>
          <w:szCs w:val="20"/>
          <w:u w:val="single"/>
        </w:rPr>
      </w:pPr>
      <w:r w:rsidRPr="00E46B31">
        <w:rPr>
          <w:rFonts w:cs="Arial"/>
          <w:i/>
          <w:szCs w:val="20"/>
          <w:u w:val="single"/>
        </w:rPr>
        <w:t>Obligaciones por arrendamientos – la Sociedad como arrendatario</w:t>
      </w:r>
    </w:p>
    <w:p w14:paraId="655F0D7C" w14:textId="77777777" w:rsidR="00401087" w:rsidRPr="00E46B31" w:rsidRDefault="00401087" w:rsidP="00401087">
      <w:pPr>
        <w:suppressAutoHyphens/>
        <w:rPr>
          <w:rFonts w:cs="Arial"/>
          <w:szCs w:val="20"/>
        </w:rPr>
      </w:pPr>
    </w:p>
    <w:p w14:paraId="749729DE" w14:textId="77777777" w:rsidR="00BA264E" w:rsidRDefault="00401087" w:rsidP="00BA264E">
      <w:pPr>
        <w:suppressAutoHyphens/>
        <w:rPr>
          <w:rFonts w:cs="Arial"/>
          <w:szCs w:val="20"/>
        </w:rPr>
      </w:pPr>
      <w:r w:rsidRPr="00E46B31">
        <w:rPr>
          <w:rFonts w:cs="Arial"/>
          <w:szCs w:val="20"/>
        </w:rPr>
        <w:t>La Sociedad mantiene contratos de arrendamiento para el desarrollo de su actividad. La clasificación de dichos arrendamientos como operativos requiere que la sociedad determine, basado en la evaluación de los términos y condiciones de estos contratos, quien retiene todos los riesgos y beneficios de la propiedad de los bienes, y en consecuencia con esa evaluación los contratos serán clasificados como arrendamientos operativos.</w:t>
      </w:r>
    </w:p>
    <w:p w14:paraId="11761FA3" w14:textId="2614037D" w:rsidR="00BA264E" w:rsidRDefault="00BA264E" w:rsidP="00BA264E">
      <w:pPr>
        <w:suppressAutoHyphens/>
        <w:rPr>
          <w:rFonts w:cs="Arial"/>
          <w:b/>
        </w:rPr>
      </w:pPr>
    </w:p>
    <w:p w14:paraId="68D687E8" w14:textId="77777777" w:rsidR="00BA264E" w:rsidRDefault="00BA264E" w:rsidP="00BA264E">
      <w:pPr>
        <w:suppressAutoHyphens/>
        <w:rPr>
          <w:rFonts w:cs="Arial"/>
          <w:b/>
        </w:rPr>
      </w:pPr>
    </w:p>
    <w:p w14:paraId="05BD7236" w14:textId="77777777" w:rsidR="00BA264E" w:rsidRDefault="00BA264E" w:rsidP="00BA264E">
      <w:pPr>
        <w:suppressAutoHyphens/>
        <w:rPr>
          <w:rFonts w:cs="Arial"/>
          <w:b/>
        </w:rPr>
      </w:pPr>
    </w:p>
    <w:p w14:paraId="1AECEE1A" w14:textId="4FD328A7" w:rsidR="00CB4F6C" w:rsidRPr="00BA264E" w:rsidRDefault="005455E0" w:rsidP="00BA264E">
      <w:pPr>
        <w:suppressAutoHyphens/>
        <w:rPr>
          <w:rFonts w:cs="Arial"/>
          <w:szCs w:val="20"/>
        </w:rPr>
      </w:pPr>
      <w:r w:rsidRPr="00E46B31">
        <w:rPr>
          <w:rFonts w:cs="Arial"/>
          <w:b/>
        </w:rPr>
        <w:t>3.</w:t>
      </w:r>
      <w:r w:rsidR="00BA264E">
        <w:rPr>
          <w:rFonts w:cs="Arial"/>
          <w:b/>
        </w:rPr>
        <w:tab/>
      </w:r>
      <w:r w:rsidR="00CB4F6C" w:rsidRPr="00E46B31">
        <w:rPr>
          <w:rFonts w:cs="Arial"/>
          <w:b/>
        </w:rPr>
        <w:t>APLICACIÓN DE RESULTADOS</w:t>
      </w:r>
    </w:p>
    <w:p w14:paraId="041B4ADF" w14:textId="12FB0732" w:rsidR="00BA264E" w:rsidRDefault="00CB4F6C" w:rsidP="006B75B7">
      <w:pPr>
        <w:widowControl w:val="0"/>
        <w:autoSpaceDE w:val="0"/>
        <w:autoSpaceDN w:val="0"/>
        <w:adjustRightInd w:val="0"/>
        <w:spacing w:before="240"/>
      </w:pPr>
      <w:r w:rsidRPr="00505410">
        <w:t xml:space="preserve">La propuesta de </w:t>
      </w:r>
      <w:r w:rsidR="006B75B7" w:rsidRPr="00505410">
        <w:t>aplicación</w:t>
      </w:r>
      <w:r w:rsidRPr="00505410">
        <w:t xml:space="preserve"> de</w:t>
      </w:r>
      <w:r w:rsidR="00194275" w:rsidRPr="00505410">
        <w:t>l resultado del ejercicio 20</w:t>
      </w:r>
      <w:r w:rsidR="00043E59" w:rsidRPr="00505410">
        <w:t>2</w:t>
      </w:r>
      <w:r w:rsidR="00207D7F">
        <w:t>4</w:t>
      </w:r>
      <w:r w:rsidR="00842DB9" w:rsidRPr="00505410">
        <w:t>,</w:t>
      </w:r>
      <w:r w:rsidRPr="00505410">
        <w:t xml:space="preserve"> formulada por los Administradores </w:t>
      </w:r>
      <w:r w:rsidR="00842DB9" w:rsidRPr="00505410">
        <w:t>y que se espera sea aprobada</w:t>
      </w:r>
      <w:r w:rsidRPr="00505410">
        <w:t xml:space="preserve"> por </w:t>
      </w:r>
      <w:r w:rsidR="0089012A" w:rsidRPr="00505410">
        <w:t>el</w:t>
      </w:r>
      <w:r w:rsidRPr="00505410">
        <w:t xml:space="preserve"> </w:t>
      </w:r>
      <w:r w:rsidR="0089012A" w:rsidRPr="00505410">
        <w:t>a</w:t>
      </w:r>
      <w:r w:rsidRPr="00505410">
        <w:t>ccionista</w:t>
      </w:r>
      <w:r w:rsidR="0089012A" w:rsidRPr="00505410">
        <w:t xml:space="preserve"> único</w:t>
      </w:r>
      <w:r w:rsidR="00842DB9" w:rsidRPr="00505410">
        <w:t xml:space="preserve">, </w:t>
      </w:r>
      <w:r w:rsidR="00725FCD" w:rsidRPr="00505410">
        <w:t>es</w:t>
      </w:r>
      <w:r w:rsidR="004B7D99" w:rsidRPr="00505410">
        <w:t xml:space="preserve"> la</w:t>
      </w:r>
      <w:r w:rsidR="006B75B7" w:rsidRPr="00505410">
        <w:t xml:space="preserve"> compensación </w:t>
      </w:r>
      <w:r w:rsidR="00D27387" w:rsidRPr="00505410">
        <w:t xml:space="preserve">de las </w:t>
      </w:r>
      <w:r w:rsidR="007853A4" w:rsidRPr="00505410">
        <w:t>pérdidas del ejercicio 20</w:t>
      </w:r>
      <w:r w:rsidR="00043E59" w:rsidRPr="00505410">
        <w:t>2</w:t>
      </w:r>
      <w:r w:rsidR="00065638">
        <w:t>4</w:t>
      </w:r>
      <w:r w:rsidR="007853A4" w:rsidRPr="00505410">
        <w:t xml:space="preserve"> por importe de </w:t>
      </w:r>
      <w:r w:rsidR="00065638">
        <w:t>3.987.780,52</w:t>
      </w:r>
      <w:r w:rsidR="007853A4" w:rsidRPr="00505410">
        <w:t xml:space="preserve"> euros</w:t>
      </w:r>
      <w:r w:rsidR="00D27387" w:rsidRPr="00505410">
        <w:t>, con</w:t>
      </w:r>
      <w:r w:rsidR="007853A4" w:rsidRPr="00505410">
        <w:t xml:space="preserve"> la</w:t>
      </w:r>
      <w:r w:rsidR="00D27387" w:rsidRPr="00505410">
        <w:t xml:space="preserve"> </w:t>
      </w:r>
      <w:r w:rsidR="007853A4" w:rsidRPr="00505410">
        <w:t xml:space="preserve">aportación del socio para </w:t>
      </w:r>
      <w:r w:rsidR="00D91BC2" w:rsidRPr="00505410">
        <w:t>ga</w:t>
      </w:r>
      <w:r w:rsidR="00E64A03" w:rsidRPr="00505410">
        <w:t>s</w:t>
      </w:r>
      <w:r w:rsidR="00D91BC2" w:rsidRPr="00505410">
        <w:t xml:space="preserve">tos de funcionamiento </w:t>
      </w:r>
      <w:r w:rsidR="00505410" w:rsidRPr="00505410">
        <w:t xml:space="preserve">por importe de </w:t>
      </w:r>
      <w:r w:rsidR="00065638">
        <w:t>3.854.672,00</w:t>
      </w:r>
      <w:r w:rsidR="00EE2421">
        <w:t xml:space="preserve"> euros</w:t>
      </w:r>
      <w:r w:rsidR="001657BF">
        <w:t>,</w:t>
      </w:r>
      <w:r w:rsidR="00EE2421">
        <w:t xml:space="preserve"> </w:t>
      </w:r>
      <w:r w:rsidR="001657BF" w:rsidRPr="00505410">
        <w:t xml:space="preserve">y el resto, por importe de </w:t>
      </w:r>
      <w:r w:rsidR="001657BF">
        <w:t>133.108,52</w:t>
      </w:r>
      <w:r w:rsidR="001657BF" w:rsidRPr="00505410">
        <w:t xml:space="preserve"> euros</w:t>
      </w:r>
      <w:r w:rsidR="00D3626E">
        <w:t>,</w:t>
      </w:r>
      <w:r w:rsidR="001657BF" w:rsidRPr="00505410">
        <w:t xml:space="preserve"> a resultados negativos de ejercicios anteriores, susceptible de compensar con beneficios </w:t>
      </w:r>
      <w:r w:rsidR="001657BF">
        <w:t>futuros o aportaciones del accionista único</w:t>
      </w:r>
      <w:r w:rsidR="001657BF" w:rsidRPr="00505410">
        <w:t xml:space="preserve"> </w:t>
      </w:r>
      <w:r w:rsidR="0089012A" w:rsidRPr="00505410">
        <w:t>(Nota 1</w:t>
      </w:r>
      <w:r w:rsidR="002A6832" w:rsidRPr="00505410">
        <w:t>1</w:t>
      </w:r>
      <w:r w:rsidR="0089012A" w:rsidRPr="00505410">
        <w:t>.3)</w:t>
      </w:r>
      <w:r w:rsidR="007853A4" w:rsidRPr="00505410">
        <w:t>.</w:t>
      </w:r>
    </w:p>
    <w:p w14:paraId="15ECCBCD" w14:textId="72CB80DB" w:rsidR="00BA264E" w:rsidRDefault="00BA264E" w:rsidP="006B75B7">
      <w:pPr>
        <w:widowControl w:val="0"/>
        <w:autoSpaceDE w:val="0"/>
        <w:autoSpaceDN w:val="0"/>
        <w:adjustRightInd w:val="0"/>
        <w:spacing w:before="240"/>
      </w:pPr>
      <w:r>
        <w:tab/>
      </w:r>
    </w:p>
    <w:p w14:paraId="614D4CFB" w14:textId="38532C86" w:rsidR="00CB4F6C" w:rsidRPr="000C5407" w:rsidRDefault="00EA3914" w:rsidP="006B75B7">
      <w:pPr>
        <w:widowControl w:val="0"/>
        <w:autoSpaceDE w:val="0"/>
        <w:autoSpaceDN w:val="0"/>
        <w:adjustRightInd w:val="0"/>
        <w:spacing w:before="240"/>
        <w:rPr>
          <w:b/>
        </w:rPr>
      </w:pPr>
      <w:r w:rsidRPr="000C5407">
        <w:rPr>
          <w:b/>
        </w:rPr>
        <w:t>4</w:t>
      </w:r>
      <w:r w:rsidR="00995FA4" w:rsidRPr="000C5407">
        <w:rPr>
          <w:b/>
        </w:rPr>
        <w:t>.</w:t>
      </w:r>
      <w:r w:rsidR="00995FA4" w:rsidRPr="000C5407">
        <w:rPr>
          <w:b/>
        </w:rPr>
        <w:tab/>
      </w:r>
      <w:r w:rsidR="00493024" w:rsidRPr="000C5407">
        <w:rPr>
          <w:b/>
        </w:rPr>
        <w:t>N</w:t>
      </w:r>
      <w:r w:rsidR="00CB4F6C" w:rsidRPr="000C5407">
        <w:rPr>
          <w:b/>
        </w:rPr>
        <w:t>ORMAS DE REGISTRO Y VALORACIÓN</w:t>
      </w:r>
    </w:p>
    <w:p w14:paraId="6D8F1D49" w14:textId="77777777" w:rsidR="004F33F4" w:rsidRDefault="004F33F4" w:rsidP="000933BA">
      <w:pPr>
        <w:tabs>
          <w:tab w:val="num" w:pos="720"/>
        </w:tabs>
        <w:spacing w:before="240"/>
        <w:rPr>
          <w:rFonts w:cs="Arial"/>
        </w:rPr>
      </w:pPr>
      <w:r w:rsidRPr="000C5407">
        <w:rPr>
          <w:rFonts w:cs="Arial"/>
        </w:rPr>
        <w:t>Los principales criterios de registro y valoración utilizados por la Sociedad en la elaboración de estas cuentas anuales son los siguientes:</w:t>
      </w:r>
    </w:p>
    <w:p w14:paraId="7AA1165D" w14:textId="77777777" w:rsidR="00CB4F6C" w:rsidRPr="000C5407" w:rsidRDefault="00345D55" w:rsidP="00345D55">
      <w:pPr>
        <w:spacing w:before="240"/>
        <w:rPr>
          <w:rFonts w:cs="Arial"/>
          <w:b/>
        </w:rPr>
      </w:pPr>
      <w:r w:rsidRPr="000C5407">
        <w:rPr>
          <w:rFonts w:cs="Arial"/>
          <w:b/>
        </w:rPr>
        <w:t>4.1</w:t>
      </w:r>
      <w:r w:rsidRPr="000C5407">
        <w:rPr>
          <w:rFonts w:cs="Arial"/>
          <w:b/>
        </w:rPr>
        <w:tab/>
      </w:r>
      <w:r w:rsidR="002E2C72" w:rsidRPr="000C5407">
        <w:rPr>
          <w:rFonts w:cs="Arial"/>
          <w:b/>
        </w:rPr>
        <w:t>Inmovilizado intan</w:t>
      </w:r>
      <w:r w:rsidR="00BE1837" w:rsidRPr="000C5407">
        <w:rPr>
          <w:rFonts w:cs="Arial"/>
          <w:b/>
        </w:rPr>
        <w:t>gible</w:t>
      </w:r>
    </w:p>
    <w:p w14:paraId="10E3EC0B" w14:textId="77777777" w:rsidR="001E5D43" w:rsidRPr="000C5407" w:rsidRDefault="00217BE7" w:rsidP="000933BA">
      <w:pPr>
        <w:spacing w:before="240"/>
        <w:rPr>
          <w:rFonts w:cs="Arial"/>
        </w:rPr>
      </w:pPr>
      <w:r w:rsidRPr="000C5407">
        <w:rPr>
          <w:rFonts w:cs="Arial"/>
        </w:rPr>
        <w:t>El inmovilizado</w:t>
      </w:r>
      <w:r w:rsidR="00CB4F6C" w:rsidRPr="000C5407">
        <w:rPr>
          <w:rFonts w:cs="Arial"/>
        </w:rPr>
        <w:t xml:space="preserve"> intangible se </w:t>
      </w:r>
      <w:r w:rsidRPr="000C5407">
        <w:rPr>
          <w:rFonts w:cs="Arial"/>
        </w:rPr>
        <w:t>valora</w:t>
      </w:r>
      <w:r w:rsidR="00532D04" w:rsidRPr="000C5407">
        <w:rPr>
          <w:rFonts w:cs="Arial"/>
        </w:rPr>
        <w:t xml:space="preserve"> inicialmente por su coste, ya </w:t>
      </w:r>
      <w:r w:rsidRPr="000C5407">
        <w:rPr>
          <w:rFonts w:cs="Arial"/>
        </w:rPr>
        <w:t>sea</w:t>
      </w:r>
      <w:r w:rsidR="00532D04" w:rsidRPr="000C5407">
        <w:rPr>
          <w:rFonts w:cs="Arial"/>
        </w:rPr>
        <w:t xml:space="preserve"> </w:t>
      </w:r>
      <w:r w:rsidR="000C7ADF" w:rsidRPr="000C5407">
        <w:rPr>
          <w:rFonts w:cs="Arial"/>
        </w:rPr>
        <w:t xml:space="preserve">éste </w:t>
      </w:r>
      <w:r w:rsidR="00532D04" w:rsidRPr="000C5407">
        <w:rPr>
          <w:rFonts w:cs="Arial"/>
        </w:rPr>
        <w:t>el</w:t>
      </w:r>
      <w:r w:rsidR="00CB4F6C" w:rsidRPr="000C5407">
        <w:rPr>
          <w:rFonts w:cs="Arial"/>
        </w:rPr>
        <w:t xml:space="preserve"> precio de adquisición o </w:t>
      </w:r>
      <w:r w:rsidR="00532D04" w:rsidRPr="000C5407">
        <w:rPr>
          <w:rFonts w:cs="Arial"/>
        </w:rPr>
        <w:t xml:space="preserve">el coste de producción. </w:t>
      </w:r>
    </w:p>
    <w:p w14:paraId="12E31806" w14:textId="77777777" w:rsidR="00532D04" w:rsidRPr="000C5407" w:rsidRDefault="00532D04" w:rsidP="000933BA">
      <w:pPr>
        <w:spacing w:before="240"/>
        <w:rPr>
          <w:rFonts w:cs="Arial"/>
        </w:rPr>
      </w:pPr>
      <w:r w:rsidRPr="000C5407">
        <w:rPr>
          <w:rFonts w:cs="Arial"/>
        </w:rPr>
        <w:t xml:space="preserve">Después del reconocimiento inicial, </w:t>
      </w:r>
      <w:r w:rsidR="00217BE7" w:rsidRPr="000C5407">
        <w:rPr>
          <w:rFonts w:cs="Arial"/>
        </w:rPr>
        <w:t>el inmovilizado intangible se valora</w:t>
      </w:r>
      <w:r w:rsidRPr="000C5407">
        <w:rPr>
          <w:rFonts w:cs="Arial"/>
        </w:rPr>
        <w:t xml:space="preserve"> por su coste</w:t>
      </w:r>
      <w:r w:rsidR="000C25A7" w:rsidRPr="000C5407">
        <w:rPr>
          <w:rFonts w:cs="Arial"/>
        </w:rPr>
        <w:t>,</w:t>
      </w:r>
      <w:r w:rsidRPr="000C5407">
        <w:rPr>
          <w:rFonts w:cs="Arial"/>
        </w:rPr>
        <w:t xml:space="preserve"> menos</w:t>
      </w:r>
      <w:r w:rsidR="00CB4F6C" w:rsidRPr="000C5407">
        <w:rPr>
          <w:rFonts w:cs="Arial"/>
        </w:rPr>
        <w:t xml:space="preserve"> la amortización acumulada y</w:t>
      </w:r>
      <w:r w:rsidR="007076CC" w:rsidRPr="000C5407">
        <w:rPr>
          <w:rFonts w:cs="Arial"/>
        </w:rPr>
        <w:t>, en su caso,</w:t>
      </w:r>
      <w:r w:rsidR="00CB4F6C" w:rsidRPr="000C5407">
        <w:rPr>
          <w:rFonts w:cs="Arial"/>
        </w:rPr>
        <w:t xml:space="preserve"> </w:t>
      </w:r>
      <w:r w:rsidRPr="000C5407">
        <w:rPr>
          <w:rFonts w:cs="Arial"/>
        </w:rPr>
        <w:t xml:space="preserve">el importe acumulado de las correcciones por </w:t>
      </w:r>
      <w:r w:rsidR="00CB4F6C" w:rsidRPr="000C5407">
        <w:rPr>
          <w:rFonts w:cs="Arial"/>
        </w:rPr>
        <w:t xml:space="preserve">deterioro </w:t>
      </w:r>
      <w:r w:rsidR="00217BE7" w:rsidRPr="000C5407">
        <w:rPr>
          <w:rFonts w:cs="Arial"/>
        </w:rPr>
        <w:t>registradas</w:t>
      </w:r>
      <w:r w:rsidR="00CB4F6C" w:rsidRPr="000C5407">
        <w:rPr>
          <w:rFonts w:cs="Arial"/>
        </w:rPr>
        <w:t>.</w:t>
      </w:r>
    </w:p>
    <w:p w14:paraId="2D1D503C" w14:textId="2E1541ED" w:rsidR="00532D04" w:rsidRDefault="00CB4F6C" w:rsidP="000933BA">
      <w:pPr>
        <w:spacing w:before="240"/>
        <w:rPr>
          <w:rFonts w:cs="Arial"/>
        </w:rPr>
      </w:pPr>
      <w:r w:rsidRPr="000C5407">
        <w:rPr>
          <w:rFonts w:cs="Arial"/>
        </w:rPr>
        <w:lastRenderedPageBreak/>
        <w:t xml:space="preserve">Los </w:t>
      </w:r>
      <w:r w:rsidR="001E5D43" w:rsidRPr="000C5407">
        <w:rPr>
          <w:rFonts w:cs="Arial"/>
        </w:rPr>
        <w:t xml:space="preserve">activos intangibles se amortizan </w:t>
      </w:r>
      <w:r w:rsidRPr="000C5407">
        <w:rPr>
          <w:rFonts w:cs="Arial"/>
        </w:rPr>
        <w:t xml:space="preserve">sistemáticamente </w:t>
      </w:r>
      <w:r w:rsidR="009712EA" w:rsidRPr="000C5407">
        <w:rPr>
          <w:rFonts w:cs="Arial"/>
        </w:rPr>
        <w:t>en función de la vida útil estimada de los biene</w:t>
      </w:r>
      <w:r w:rsidR="007076CC" w:rsidRPr="000C5407">
        <w:rPr>
          <w:rFonts w:cs="Arial"/>
        </w:rPr>
        <w:t>s y de su valor residual</w:t>
      </w:r>
      <w:r w:rsidRPr="000C5407">
        <w:rPr>
          <w:rFonts w:cs="Arial"/>
        </w:rPr>
        <w:t xml:space="preserve">. Los métodos y periodos de amortización aplicados son revisados </w:t>
      </w:r>
      <w:r w:rsidR="001E5D43" w:rsidRPr="000C5407">
        <w:rPr>
          <w:rFonts w:cs="Arial"/>
        </w:rPr>
        <w:t xml:space="preserve">en </w:t>
      </w:r>
      <w:r w:rsidR="00532D04" w:rsidRPr="000C5407">
        <w:rPr>
          <w:rFonts w:cs="Arial"/>
        </w:rPr>
        <w:t>cada cierre de</w:t>
      </w:r>
      <w:r w:rsidR="00217BE7" w:rsidRPr="000C5407">
        <w:rPr>
          <w:rFonts w:cs="Arial"/>
        </w:rPr>
        <w:t xml:space="preserve"> ejercicio</w:t>
      </w:r>
      <w:r w:rsidRPr="000C5407">
        <w:rPr>
          <w:rFonts w:cs="Arial"/>
        </w:rPr>
        <w:t xml:space="preserve"> y</w:t>
      </w:r>
      <w:r w:rsidR="00217BE7" w:rsidRPr="000C5407">
        <w:rPr>
          <w:rFonts w:cs="Arial"/>
        </w:rPr>
        <w:t>,</w:t>
      </w:r>
      <w:r w:rsidRPr="000C5407">
        <w:rPr>
          <w:rFonts w:cs="Arial"/>
        </w:rPr>
        <w:t xml:space="preserve"> si procede, ajustados de forma prospectiva. </w:t>
      </w:r>
      <w:r w:rsidR="00BF50E1" w:rsidRPr="000C5407">
        <w:rPr>
          <w:rFonts w:cs="Arial"/>
        </w:rPr>
        <w:t>Al menos al cierre del ejercicio, se evalúa la existencia de indicios de deterior</w:t>
      </w:r>
      <w:r w:rsidR="007076CC" w:rsidRPr="000C5407">
        <w:rPr>
          <w:rFonts w:cs="Arial"/>
        </w:rPr>
        <w:t>o</w:t>
      </w:r>
      <w:r w:rsidR="00BF50E1" w:rsidRPr="000C5407">
        <w:rPr>
          <w:rFonts w:cs="Arial"/>
        </w:rPr>
        <w:t>, en cuyo caso se estima</w:t>
      </w:r>
      <w:r w:rsidR="007076CC" w:rsidRPr="000C5407">
        <w:rPr>
          <w:rFonts w:cs="Arial"/>
        </w:rPr>
        <w:t>n</w:t>
      </w:r>
      <w:r w:rsidR="00BF50E1" w:rsidRPr="000C5407">
        <w:rPr>
          <w:rFonts w:cs="Arial"/>
        </w:rPr>
        <w:t xml:space="preserve"> los importes recuperables, efectuándose las correcciones valorativa</w:t>
      </w:r>
      <w:r w:rsidR="007076CC" w:rsidRPr="000C5407">
        <w:rPr>
          <w:rFonts w:cs="Arial"/>
        </w:rPr>
        <w:t>s</w:t>
      </w:r>
      <w:r w:rsidR="00BF50E1" w:rsidRPr="000C5407">
        <w:rPr>
          <w:rFonts w:cs="Arial"/>
        </w:rPr>
        <w:t xml:space="preserve"> que </w:t>
      </w:r>
      <w:r w:rsidR="001A1865" w:rsidRPr="000C5407">
        <w:rPr>
          <w:rFonts w:cs="Arial"/>
        </w:rPr>
        <w:t>procedan</w:t>
      </w:r>
      <w:r w:rsidR="00BF50E1" w:rsidRPr="000C5407">
        <w:rPr>
          <w:rFonts w:cs="Arial"/>
        </w:rPr>
        <w:t>.</w:t>
      </w:r>
    </w:p>
    <w:p w14:paraId="589BCE29" w14:textId="42D18F25" w:rsidR="00D71218" w:rsidRPr="000C5407" w:rsidRDefault="00D309A4" w:rsidP="007076CC">
      <w:pPr>
        <w:spacing w:before="240"/>
        <w:rPr>
          <w:rFonts w:cs="Arial"/>
          <w:i/>
          <w:u w:val="single"/>
        </w:rPr>
      </w:pPr>
      <w:r w:rsidRPr="000C5407">
        <w:rPr>
          <w:rFonts w:cs="Arial"/>
          <w:i/>
          <w:u w:val="single"/>
        </w:rPr>
        <w:t>Patentes</w:t>
      </w:r>
    </w:p>
    <w:p w14:paraId="6C40D5DB" w14:textId="77777777" w:rsidR="00CB266A" w:rsidRDefault="004A211B" w:rsidP="000933BA">
      <w:pPr>
        <w:spacing w:before="240"/>
        <w:rPr>
          <w:rFonts w:cs="Arial"/>
        </w:rPr>
      </w:pPr>
      <w:r w:rsidRPr="000C5407">
        <w:rPr>
          <w:rFonts w:cs="Arial"/>
        </w:rPr>
        <w:t xml:space="preserve">Se encuentran valorados por el importe satisfecho en el diseño, así como los gastos de registro y formalización de la propiedad industrial. </w:t>
      </w:r>
      <w:r w:rsidR="00532D04" w:rsidRPr="000C5407">
        <w:rPr>
          <w:rFonts w:cs="Arial"/>
        </w:rPr>
        <w:t>Las patentes se pueden utilizar durante un periodo de 10 años, por lo que se amortizan linealmente en dicho periodo</w:t>
      </w:r>
      <w:r w:rsidR="00CB4F6C" w:rsidRPr="000C5407">
        <w:rPr>
          <w:rFonts w:cs="Arial"/>
        </w:rPr>
        <w:t>.</w:t>
      </w:r>
    </w:p>
    <w:p w14:paraId="0E592008" w14:textId="77777777" w:rsidR="007C7C64" w:rsidRDefault="007C7C64" w:rsidP="00930BDD">
      <w:pPr>
        <w:rPr>
          <w:rFonts w:cs="Arial"/>
          <w:i/>
          <w:u w:val="single"/>
        </w:rPr>
      </w:pPr>
    </w:p>
    <w:p w14:paraId="0C2E94EC" w14:textId="77777777" w:rsidR="00980CA4" w:rsidRPr="000C5407" w:rsidRDefault="00980CA4" w:rsidP="00930BDD">
      <w:pPr>
        <w:rPr>
          <w:rFonts w:cs="Arial"/>
          <w:i/>
          <w:u w:val="single"/>
        </w:rPr>
      </w:pPr>
      <w:r w:rsidRPr="000C5407">
        <w:rPr>
          <w:rFonts w:cs="Arial"/>
          <w:i/>
          <w:u w:val="single"/>
        </w:rPr>
        <w:t>Aplicaciones informáticas</w:t>
      </w:r>
    </w:p>
    <w:p w14:paraId="7213D62E" w14:textId="385EB4B4" w:rsidR="00980CA4" w:rsidRPr="000C5407" w:rsidRDefault="00342274" w:rsidP="000933BA">
      <w:pPr>
        <w:spacing w:before="240"/>
        <w:rPr>
          <w:rFonts w:cs="Arial"/>
        </w:rPr>
      </w:pPr>
      <w:r w:rsidRPr="000C5407">
        <w:rPr>
          <w:rFonts w:cs="Arial"/>
        </w:rPr>
        <w:t>Esta</w:t>
      </w:r>
      <w:r w:rsidR="00412AFA" w:rsidRPr="000C5407">
        <w:rPr>
          <w:rFonts w:cs="Arial"/>
        </w:rPr>
        <w:t xml:space="preserve"> part</w:t>
      </w:r>
      <w:r w:rsidRPr="000C5407">
        <w:rPr>
          <w:rFonts w:cs="Arial"/>
        </w:rPr>
        <w:t>ida</w:t>
      </w:r>
      <w:r w:rsidR="00412AFA" w:rsidRPr="000C5407">
        <w:rPr>
          <w:rFonts w:cs="Arial"/>
        </w:rPr>
        <w:t xml:space="preserve"> incluye los costes incurridos</w:t>
      </w:r>
      <w:r w:rsidR="004A211B" w:rsidRPr="000C5407">
        <w:rPr>
          <w:rFonts w:cs="Arial"/>
        </w:rPr>
        <w:t xml:space="preserve"> de</w:t>
      </w:r>
      <w:r w:rsidR="00412AFA" w:rsidRPr="000C5407">
        <w:rPr>
          <w:rFonts w:cs="Arial"/>
        </w:rPr>
        <w:t xml:space="preserve"> las adquiridas </w:t>
      </w:r>
      <w:r w:rsidR="00875C80" w:rsidRPr="000C5407">
        <w:rPr>
          <w:rFonts w:cs="Arial"/>
        </w:rPr>
        <w:t xml:space="preserve">a </w:t>
      </w:r>
      <w:r w:rsidR="00412AFA" w:rsidRPr="000C5407">
        <w:rPr>
          <w:rFonts w:cs="Arial"/>
        </w:rPr>
        <w:t xml:space="preserve">terceros. Su amortización se realiza de forma lineal a </w:t>
      </w:r>
      <w:r w:rsidR="00B94B15">
        <w:rPr>
          <w:rFonts w:cs="Arial"/>
        </w:rPr>
        <w:t xml:space="preserve">lo </w:t>
      </w:r>
      <w:r w:rsidR="00412AFA" w:rsidRPr="000C5407">
        <w:rPr>
          <w:rFonts w:cs="Arial"/>
        </w:rPr>
        <w:t xml:space="preserve">largo de </w:t>
      </w:r>
      <w:r w:rsidR="00EA3914" w:rsidRPr="000C5407">
        <w:rPr>
          <w:rFonts w:cs="Arial"/>
        </w:rPr>
        <w:t>la duración del mismo</w:t>
      </w:r>
      <w:r w:rsidR="00F10B68">
        <w:rPr>
          <w:rFonts w:cs="Arial"/>
        </w:rPr>
        <w:t>, estimada en 3 años</w:t>
      </w:r>
      <w:r w:rsidR="00412AFA" w:rsidRPr="000C5407">
        <w:rPr>
          <w:rFonts w:cs="Arial"/>
        </w:rPr>
        <w:t>.</w:t>
      </w:r>
    </w:p>
    <w:p w14:paraId="7E0CA89B" w14:textId="77777777" w:rsidR="00BF50E1" w:rsidRPr="000C5407" w:rsidRDefault="001A1865" w:rsidP="000933BA">
      <w:pPr>
        <w:spacing w:before="240"/>
        <w:rPr>
          <w:rFonts w:cs="Arial"/>
        </w:rPr>
      </w:pPr>
      <w:r w:rsidRPr="000C5407">
        <w:rPr>
          <w:rFonts w:cs="Arial"/>
        </w:rPr>
        <w:t>Las reparaciones que no representan una ampliación de la vida útil y los costes de mantenimiento son cargados en la cuenta de pérdidas y ganancias en el ejercicio en que se producen.</w:t>
      </w:r>
    </w:p>
    <w:p w14:paraId="46AD32ED" w14:textId="77777777" w:rsidR="00FF610D" w:rsidRPr="000C5407" w:rsidRDefault="00FF610D" w:rsidP="00FF610D">
      <w:pPr>
        <w:spacing w:before="240"/>
        <w:rPr>
          <w:rFonts w:cs="Arial"/>
          <w:i/>
          <w:u w:val="single"/>
        </w:rPr>
      </w:pPr>
      <w:r w:rsidRPr="000C5407">
        <w:rPr>
          <w:rFonts w:cs="Arial"/>
          <w:i/>
          <w:u w:val="single"/>
        </w:rPr>
        <w:t>Otro inmovilizado intangible (Derechos de traspaso)</w:t>
      </w:r>
    </w:p>
    <w:p w14:paraId="7D87883C" w14:textId="14394803" w:rsidR="007B6BAF" w:rsidRDefault="00FF610D" w:rsidP="00345D55">
      <w:pPr>
        <w:spacing w:before="240"/>
        <w:rPr>
          <w:rFonts w:cs="Arial"/>
        </w:rPr>
      </w:pPr>
      <w:r w:rsidRPr="000C5407">
        <w:rPr>
          <w:rFonts w:cs="Arial"/>
        </w:rPr>
        <w:t xml:space="preserve">Se encuentran valorados por el importe satisfecho por los derechos de arrendamiento de locales. Su amortización se realiza de modo sistemático a lo largo de </w:t>
      </w:r>
      <w:r w:rsidR="007B6BAF" w:rsidRPr="000C5407">
        <w:rPr>
          <w:rFonts w:cs="Arial"/>
        </w:rPr>
        <w:t>la duración del mismo.</w:t>
      </w:r>
    </w:p>
    <w:p w14:paraId="53825357" w14:textId="77777777" w:rsidR="00CB4F6C" w:rsidRPr="000C5407" w:rsidRDefault="00345D55" w:rsidP="00345D55">
      <w:pPr>
        <w:spacing w:before="240"/>
        <w:rPr>
          <w:rFonts w:cs="Arial"/>
          <w:b/>
        </w:rPr>
      </w:pPr>
      <w:r w:rsidRPr="000C5407">
        <w:rPr>
          <w:rFonts w:cs="Arial"/>
          <w:b/>
        </w:rPr>
        <w:t>4.2</w:t>
      </w:r>
      <w:r w:rsidRPr="000C5407">
        <w:rPr>
          <w:rFonts w:cs="Arial"/>
          <w:b/>
        </w:rPr>
        <w:tab/>
      </w:r>
      <w:r w:rsidR="00551C62" w:rsidRPr="000C5407">
        <w:rPr>
          <w:rFonts w:cs="Arial"/>
          <w:b/>
        </w:rPr>
        <w:t>Inmovilizado material</w:t>
      </w:r>
      <w:r w:rsidR="00A9198E">
        <w:rPr>
          <w:rFonts w:cs="Arial"/>
          <w:b/>
        </w:rPr>
        <w:t xml:space="preserve"> </w:t>
      </w:r>
      <w:r w:rsidR="00B1456E">
        <w:rPr>
          <w:rFonts w:cs="Arial"/>
          <w:b/>
        </w:rPr>
        <w:t>e inversiones inmobiliarias</w:t>
      </w:r>
    </w:p>
    <w:p w14:paraId="49C42006" w14:textId="77777777" w:rsidR="00ED7B79" w:rsidRPr="000C5407" w:rsidRDefault="00146CF1" w:rsidP="000933BA">
      <w:pPr>
        <w:spacing w:before="240"/>
        <w:rPr>
          <w:rFonts w:cs="Arial"/>
        </w:rPr>
      </w:pPr>
      <w:r w:rsidRPr="000C5407">
        <w:rPr>
          <w:rFonts w:cs="Arial"/>
        </w:rPr>
        <w:t>E</w:t>
      </w:r>
      <w:r w:rsidR="00CB4F6C" w:rsidRPr="000C5407">
        <w:rPr>
          <w:rFonts w:cs="Arial"/>
        </w:rPr>
        <w:t xml:space="preserve">l inmovilizado material </w:t>
      </w:r>
      <w:r w:rsidR="00B1456E">
        <w:rPr>
          <w:rFonts w:cs="Arial"/>
        </w:rPr>
        <w:t xml:space="preserve">y las inversiones inmobiliarias </w:t>
      </w:r>
      <w:r w:rsidRPr="000C5407">
        <w:rPr>
          <w:rFonts w:cs="Arial"/>
        </w:rPr>
        <w:t xml:space="preserve">se valora inicialmente por su coste, ya sea </w:t>
      </w:r>
      <w:r w:rsidR="004E25DD" w:rsidRPr="000C5407">
        <w:rPr>
          <w:rFonts w:cs="Arial"/>
        </w:rPr>
        <w:t>éste</w:t>
      </w:r>
      <w:r w:rsidR="007076CC" w:rsidRPr="000C5407">
        <w:rPr>
          <w:rFonts w:cs="Arial"/>
        </w:rPr>
        <w:t xml:space="preserve"> </w:t>
      </w:r>
      <w:r w:rsidRPr="000C5407">
        <w:rPr>
          <w:rFonts w:cs="Arial"/>
        </w:rPr>
        <w:t>el</w:t>
      </w:r>
      <w:r w:rsidR="00694641" w:rsidRPr="000C5407">
        <w:rPr>
          <w:rFonts w:cs="Arial"/>
        </w:rPr>
        <w:t xml:space="preserve"> precio de adquisición o </w:t>
      </w:r>
      <w:r w:rsidRPr="000C5407">
        <w:rPr>
          <w:rFonts w:cs="Arial"/>
        </w:rPr>
        <w:t>el</w:t>
      </w:r>
      <w:r w:rsidR="00694641" w:rsidRPr="000C5407">
        <w:rPr>
          <w:rFonts w:cs="Arial"/>
        </w:rPr>
        <w:t xml:space="preserve"> coste de producción</w:t>
      </w:r>
      <w:r w:rsidRPr="000C5407">
        <w:rPr>
          <w:rFonts w:cs="Arial"/>
        </w:rPr>
        <w:t>.</w:t>
      </w:r>
      <w:r w:rsidR="0000125F" w:rsidRPr="000C5407">
        <w:rPr>
          <w:rFonts w:cs="Arial"/>
        </w:rPr>
        <w:t xml:space="preserve"> </w:t>
      </w:r>
      <w:r w:rsidR="00B1456E">
        <w:rPr>
          <w:rFonts w:cs="Arial"/>
        </w:rPr>
        <w:t>Los inmuebles adquiridos por el cobro de créditos a clientes se valoran por el importe por el que figuran en cuentas el crédito correspondiente al bien recibido, más todos aquellos gastos que se ocasionen como consecuencia de esta operación, o al precio de mercado si este fuese menor.</w:t>
      </w:r>
    </w:p>
    <w:p w14:paraId="040D63D8" w14:textId="77777777" w:rsidR="00694641" w:rsidRPr="000C5407" w:rsidRDefault="0000125F" w:rsidP="000933BA">
      <w:pPr>
        <w:spacing w:before="240"/>
        <w:rPr>
          <w:rFonts w:cs="Arial"/>
        </w:rPr>
      </w:pPr>
      <w:r w:rsidRPr="000C5407">
        <w:rPr>
          <w:rFonts w:cs="Arial"/>
        </w:rPr>
        <w:t>Después del reconocimiento inicial, el inmovilizado material se valora por su coste</w:t>
      </w:r>
      <w:r w:rsidR="000C25A7" w:rsidRPr="000C5407">
        <w:rPr>
          <w:rFonts w:cs="Arial"/>
        </w:rPr>
        <w:t>,</w:t>
      </w:r>
      <w:r w:rsidRPr="000C5407">
        <w:rPr>
          <w:rFonts w:cs="Arial"/>
        </w:rPr>
        <w:t xml:space="preserve"> menos</w:t>
      </w:r>
      <w:r w:rsidR="00694641" w:rsidRPr="000C5407">
        <w:rPr>
          <w:rFonts w:cs="Arial"/>
        </w:rPr>
        <w:t xml:space="preserve"> la amortización acumulada y</w:t>
      </w:r>
      <w:r w:rsidR="004468AA" w:rsidRPr="000C5407">
        <w:rPr>
          <w:rFonts w:cs="Arial"/>
        </w:rPr>
        <w:t>, en su caso,</w:t>
      </w:r>
      <w:r w:rsidR="00694641" w:rsidRPr="000C5407">
        <w:rPr>
          <w:rFonts w:cs="Arial"/>
        </w:rPr>
        <w:t xml:space="preserve"> </w:t>
      </w:r>
      <w:r w:rsidR="00146CF1" w:rsidRPr="000C5407">
        <w:rPr>
          <w:rFonts w:cs="Arial"/>
        </w:rPr>
        <w:t>el importe acumulado de las correcciones</w:t>
      </w:r>
      <w:r w:rsidR="00694641" w:rsidRPr="000C5407">
        <w:rPr>
          <w:rFonts w:cs="Arial"/>
        </w:rPr>
        <w:t xml:space="preserve"> por deterioro </w:t>
      </w:r>
      <w:r w:rsidR="00146CF1" w:rsidRPr="000C5407">
        <w:rPr>
          <w:rFonts w:cs="Arial"/>
        </w:rPr>
        <w:t>registra</w:t>
      </w:r>
      <w:r w:rsidRPr="000C5407">
        <w:rPr>
          <w:rFonts w:cs="Arial"/>
        </w:rPr>
        <w:t>das.</w:t>
      </w:r>
    </w:p>
    <w:p w14:paraId="10BC0AE5" w14:textId="77777777" w:rsidR="00ED7ABE" w:rsidRPr="000C5407" w:rsidRDefault="0000125F" w:rsidP="004468AA">
      <w:pPr>
        <w:spacing w:before="240"/>
        <w:rPr>
          <w:rFonts w:cs="Arial"/>
        </w:rPr>
      </w:pPr>
      <w:r w:rsidRPr="000C5407">
        <w:rPr>
          <w:rFonts w:cs="Arial"/>
        </w:rPr>
        <w:t>E</w:t>
      </w:r>
      <w:r w:rsidR="00ED7ABE" w:rsidRPr="000C5407">
        <w:rPr>
          <w:rFonts w:cs="Arial"/>
        </w:rPr>
        <w:t xml:space="preserve">n el </w:t>
      </w:r>
      <w:r w:rsidRPr="000C5407">
        <w:rPr>
          <w:rFonts w:cs="Arial"/>
        </w:rPr>
        <w:t xml:space="preserve">coste de aquellos activos </w:t>
      </w:r>
      <w:r w:rsidR="00C421E9" w:rsidRPr="000C5407">
        <w:rPr>
          <w:rFonts w:cs="Arial"/>
        </w:rPr>
        <w:t xml:space="preserve">adquiridos o producidos después </w:t>
      </w:r>
      <w:r w:rsidR="000E52F9" w:rsidRPr="000C5407">
        <w:rPr>
          <w:rFonts w:cs="Arial"/>
        </w:rPr>
        <w:t>del 1 de enero de 200</w:t>
      </w:r>
      <w:r w:rsidR="00C32083" w:rsidRPr="000C5407">
        <w:rPr>
          <w:rFonts w:cs="Arial"/>
        </w:rPr>
        <w:t>8</w:t>
      </w:r>
      <w:r w:rsidR="00C421E9" w:rsidRPr="000C5407">
        <w:rPr>
          <w:rFonts w:cs="Arial"/>
        </w:rPr>
        <w:t>, que necesita</w:t>
      </w:r>
      <w:r w:rsidRPr="000C5407">
        <w:rPr>
          <w:rFonts w:cs="Arial"/>
        </w:rPr>
        <w:t>n más de un año para estar en condiciones de uso</w:t>
      </w:r>
      <w:r w:rsidR="00C421E9" w:rsidRPr="000C5407">
        <w:rPr>
          <w:rFonts w:cs="Arial"/>
        </w:rPr>
        <w:t>,</w:t>
      </w:r>
      <w:r w:rsidR="00ED7ABE" w:rsidRPr="000C5407">
        <w:rPr>
          <w:rFonts w:cs="Arial"/>
        </w:rPr>
        <w:t xml:space="preserve"> </w:t>
      </w:r>
      <w:r w:rsidRPr="000C5407">
        <w:rPr>
          <w:rFonts w:cs="Arial"/>
        </w:rPr>
        <w:t xml:space="preserve">se incluyen </w:t>
      </w:r>
      <w:r w:rsidR="00ED7ABE" w:rsidRPr="000C5407">
        <w:rPr>
          <w:rFonts w:cs="Arial"/>
        </w:rPr>
        <w:t>los gastos financieros devengados antes de la puesta en condiciones de funcionamiento</w:t>
      </w:r>
      <w:r w:rsidR="00BE3A9F" w:rsidRPr="000C5407">
        <w:rPr>
          <w:rFonts w:cs="Arial"/>
        </w:rPr>
        <w:t xml:space="preserve"> del inmovilizado</w:t>
      </w:r>
      <w:r w:rsidR="004468AA" w:rsidRPr="000C5407">
        <w:rPr>
          <w:rFonts w:cs="Arial"/>
        </w:rPr>
        <w:t xml:space="preserve"> que cumplen con los requisitos para su capitalización</w:t>
      </w:r>
      <w:r w:rsidRPr="000C5407">
        <w:rPr>
          <w:rFonts w:cs="Arial"/>
        </w:rPr>
        <w:t>.</w:t>
      </w:r>
      <w:r w:rsidR="00ED7ABE" w:rsidRPr="000C5407">
        <w:rPr>
          <w:rFonts w:cs="Arial"/>
        </w:rPr>
        <w:t xml:space="preserve"> </w:t>
      </w:r>
    </w:p>
    <w:p w14:paraId="18FABA3A" w14:textId="77777777" w:rsidR="00CB4F6C" w:rsidRPr="000C5407" w:rsidRDefault="00CB4F6C" w:rsidP="000933BA">
      <w:pPr>
        <w:spacing w:before="240"/>
        <w:rPr>
          <w:rFonts w:cs="Arial"/>
        </w:rPr>
      </w:pPr>
      <w:r w:rsidRPr="000C5407">
        <w:rPr>
          <w:rFonts w:cs="Arial"/>
        </w:rPr>
        <w:t xml:space="preserve">Las reparaciones que no representan una ampliación de la vida útil y los </w:t>
      </w:r>
      <w:r w:rsidR="004468AA" w:rsidRPr="000C5407">
        <w:rPr>
          <w:rFonts w:cs="Arial"/>
        </w:rPr>
        <w:t>costes</w:t>
      </w:r>
      <w:r w:rsidRPr="000C5407">
        <w:rPr>
          <w:rFonts w:cs="Arial"/>
        </w:rPr>
        <w:t xml:space="preserve"> de mantenimiento son cargados </w:t>
      </w:r>
      <w:r w:rsidR="0000125F" w:rsidRPr="000C5407">
        <w:rPr>
          <w:rFonts w:cs="Arial"/>
        </w:rPr>
        <w:t>en</w:t>
      </w:r>
      <w:r w:rsidRPr="000C5407">
        <w:rPr>
          <w:rFonts w:cs="Arial"/>
        </w:rPr>
        <w:t xml:space="preserve"> la cuenta de pérdidas y ganancias en el ejercicio en que se producen. Los costes de </w:t>
      </w:r>
      <w:r w:rsidR="00342274" w:rsidRPr="000C5407">
        <w:rPr>
          <w:rFonts w:cs="Arial"/>
        </w:rPr>
        <w:t xml:space="preserve">renovación, </w:t>
      </w:r>
      <w:r w:rsidRPr="000C5407">
        <w:rPr>
          <w:rFonts w:cs="Arial"/>
        </w:rPr>
        <w:t>ampliación o mejora que dan lugar a un aumento de la capacidad productiva o a un alargamiento de la vida útil de los bienes, son incorporados al ac</w:t>
      </w:r>
      <w:r w:rsidR="00342274" w:rsidRPr="000C5407">
        <w:rPr>
          <w:rFonts w:cs="Arial"/>
        </w:rPr>
        <w:t>tivo como mayor valor del mismo, dándose de baja, en su caso, el valor contable de los elementos sustituidos.</w:t>
      </w:r>
    </w:p>
    <w:p w14:paraId="65C6FE09" w14:textId="77777777" w:rsidR="00CB4F6C" w:rsidRPr="000C5407" w:rsidRDefault="0000125F" w:rsidP="000933BA">
      <w:pPr>
        <w:spacing w:before="240"/>
        <w:rPr>
          <w:rFonts w:cs="Arial"/>
        </w:rPr>
      </w:pPr>
      <w:r w:rsidRPr="000C5407">
        <w:rPr>
          <w:rFonts w:cs="Arial"/>
        </w:rPr>
        <w:t xml:space="preserve">Los costes relacionados con </w:t>
      </w:r>
      <w:r w:rsidR="00CB4F6C" w:rsidRPr="000C5407">
        <w:rPr>
          <w:rFonts w:cs="Arial"/>
        </w:rPr>
        <w:t xml:space="preserve">grandes reparaciones de </w:t>
      </w:r>
      <w:r w:rsidRPr="000C5407">
        <w:rPr>
          <w:rFonts w:cs="Arial"/>
        </w:rPr>
        <w:t>lo</w:t>
      </w:r>
      <w:r w:rsidR="00CB4F6C" w:rsidRPr="000C5407">
        <w:rPr>
          <w:rFonts w:cs="Arial"/>
        </w:rPr>
        <w:t>s elementos de</w:t>
      </w:r>
      <w:r w:rsidRPr="000C5407">
        <w:rPr>
          <w:rFonts w:cs="Arial"/>
        </w:rPr>
        <w:t>l</w:t>
      </w:r>
      <w:r w:rsidR="00CB4F6C" w:rsidRPr="000C5407">
        <w:rPr>
          <w:rFonts w:cs="Arial"/>
        </w:rPr>
        <w:t xml:space="preserve"> inmovilizado </w:t>
      </w:r>
      <w:r w:rsidRPr="000C5407">
        <w:rPr>
          <w:rFonts w:cs="Arial"/>
        </w:rPr>
        <w:t xml:space="preserve">material </w:t>
      </w:r>
      <w:r w:rsidR="00CB4F6C" w:rsidRPr="000C5407">
        <w:rPr>
          <w:rFonts w:cs="Arial"/>
        </w:rPr>
        <w:t>se capitalizan en</w:t>
      </w:r>
      <w:r w:rsidR="00535F8C" w:rsidRPr="000C5407">
        <w:rPr>
          <w:rFonts w:cs="Arial"/>
        </w:rPr>
        <w:t xml:space="preserve"> el momento en el que se incurren</w:t>
      </w:r>
      <w:r w:rsidR="00CB4F6C" w:rsidRPr="000C5407">
        <w:rPr>
          <w:rFonts w:cs="Arial"/>
        </w:rPr>
        <w:t xml:space="preserve"> y se amortizan durante el periodo que medie hasta la siguiente gran reparación. </w:t>
      </w:r>
    </w:p>
    <w:p w14:paraId="50A6C409" w14:textId="77777777" w:rsidR="00B16DD6" w:rsidRDefault="00CB4F6C" w:rsidP="000933BA">
      <w:pPr>
        <w:spacing w:before="240"/>
        <w:rPr>
          <w:rFonts w:cs="Arial"/>
        </w:rPr>
      </w:pPr>
      <w:r w:rsidRPr="000C5407">
        <w:rPr>
          <w:rFonts w:cs="Arial"/>
        </w:rPr>
        <w:t xml:space="preserve">La amortización de los elementos del inmovilizado material </w:t>
      </w:r>
      <w:r w:rsidR="00E00D6D">
        <w:rPr>
          <w:rFonts w:cs="Arial"/>
        </w:rPr>
        <w:t xml:space="preserve">e inversiones inmobiliarias </w:t>
      </w:r>
      <w:r w:rsidRPr="000C5407">
        <w:rPr>
          <w:rFonts w:cs="Arial"/>
        </w:rPr>
        <w:t>se realiza</w:t>
      </w:r>
      <w:r w:rsidR="00535F8C" w:rsidRPr="000C5407">
        <w:rPr>
          <w:rFonts w:cs="Arial"/>
        </w:rPr>
        <w:t>,</w:t>
      </w:r>
      <w:r w:rsidRPr="000C5407">
        <w:rPr>
          <w:rFonts w:cs="Arial"/>
        </w:rPr>
        <w:t xml:space="preserve"> </w:t>
      </w:r>
      <w:r w:rsidR="00535F8C" w:rsidRPr="000C5407">
        <w:rPr>
          <w:rFonts w:cs="Arial"/>
        </w:rPr>
        <w:t>desde el momento en el que están disponibles para su puesta en funcionamiento, de forma</w:t>
      </w:r>
      <w:r w:rsidRPr="000C5407">
        <w:rPr>
          <w:rFonts w:cs="Arial"/>
        </w:rPr>
        <w:t xml:space="preserve"> lineal durante </w:t>
      </w:r>
      <w:r w:rsidR="00BE3A9F" w:rsidRPr="000C5407">
        <w:rPr>
          <w:rFonts w:cs="Arial"/>
        </w:rPr>
        <w:t>su</w:t>
      </w:r>
      <w:r w:rsidRPr="000C5407">
        <w:rPr>
          <w:rFonts w:cs="Arial"/>
        </w:rPr>
        <w:t xml:space="preserve"> vida útil e</w:t>
      </w:r>
      <w:r w:rsidR="00535F8C" w:rsidRPr="000C5407">
        <w:rPr>
          <w:rFonts w:cs="Arial"/>
        </w:rPr>
        <w:t>stimada</w:t>
      </w:r>
      <w:r w:rsidR="00881C1D" w:rsidRPr="000C5407">
        <w:rPr>
          <w:rFonts w:cs="Arial"/>
        </w:rPr>
        <w:t>.</w:t>
      </w:r>
    </w:p>
    <w:p w14:paraId="1F26B37E" w14:textId="2A671BEB" w:rsidR="00706716" w:rsidRDefault="00077AD6" w:rsidP="000933BA">
      <w:pPr>
        <w:spacing w:before="240"/>
        <w:rPr>
          <w:rFonts w:cs="Arial"/>
        </w:rPr>
      </w:pPr>
      <w:r w:rsidRPr="000C5407">
        <w:rPr>
          <w:rFonts w:cs="Arial"/>
        </w:rPr>
        <w:lastRenderedPageBreak/>
        <w:t xml:space="preserve">Los </w:t>
      </w:r>
      <w:r w:rsidR="00420ACC" w:rsidRPr="000C5407">
        <w:rPr>
          <w:rFonts w:cs="Arial"/>
        </w:rPr>
        <w:t>años de vida útil estimada</w:t>
      </w:r>
      <w:r w:rsidR="00BE3A9F" w:rsidRPr="000C5407">
        <w:rPr>
          <w:rFonts w:cs="Arial"/>
        </w:rPr>
        <w:t xml:space="preserve"> para los distintos elementos del inmovilizado material </w:t>
      </w:r>
      <w:r w:rsidR="00F10B68">
        <w:rPr>
          <w:rFonts w:cs="Arial"/>
        </w:rPr>
        <w:t xml:space="preserve">e inversiones inmobiliarias </w:t>
      </w:r>
      <w:r w:rsidR="00BE3A9F" w:rsidRPr="000C5407">
        <w:rPr>
          <w:rFonts w:cs="Arial"/>
        </w:rPr>
        <w:t xml:space="preserve">son los </w:t>
      </w:r>
      <w:r w:rsidR="00BE3A9F" w:rsidRPr="002E658D">
        <w:rPr>
          <w:rFonts w:cs="Arial"/>
        </w:rPr>
        <w:t>siguientes</w:t>
      </w:r>
      <w:r w:rsidR="00CB4F6C" w:rsidRPr="002E658D">
        <w:rPr>
          <w:rFonts w:cs="Arial"/>
        </w:rPr>
        <w:t>:</w:t>
      </w:r>
    </w:p>
    <w:p w14:paraId="2FCCDFBA" w14:textId="77777777" w:rsidR="00BA264E" w:rsidRDefault="00BA264E" w:rsidP="000933BA">
      <w:pPr>
        <w:spacing w:before="240"/>
        <w:rPr>
          <w:rFonts w:cs="Arial"/>
        </w:rPr>
      </w:pPr>
    </w:p>
    <w:tbl>
      <w:tblPr>
        <w:tblW w:w="9123" w:type="dxa"/>
        <w:jc w:val="center"/>
        <w:tblLayout w:type="fixed"/>
        <w:tblCellMar>
          <w:left w:w="99" w:type="dxa"/>
          <w:right w:w="99" w:type="dxa"/>
        </w:tblCellMar>
        <w:tblLook w:val="0000" w:firstRow="0" w:lastRow="0" w:firstColumn="0" w:lastColumn="0" w:noHBand="0" w:noVBand="0"/>
      </w:tblPr>
      <w:tblGrid>
        <w:gridCol w:w="7428"/>
        <w:gridCol w:w="1695"/>
      </w:tblGrid>
      <w:tr w:rsidR="009F6D6C" w:rsidRPr="002E658D" w14:paraId="1D772734" w14:textId="77777777" w:rsidTr="00F8559D">
        <w:trPr>
          <w:cantSplit/>
          <w:jc w:val="center"/>
        </w:trPr>
        <w:tc>
          <w:tcPr>
            <w:tcW w:w="7428" w:type="dxa"/>
            <w:tcBorders>
              <w:top w:val="single" w:sz="6" w:space="0" w:color="auto"/>
              <w:bottom w:val="single" w:sz="6" w:space="0" w:color="auto"/>
            </w:tcBorders>
            <w:shd w:val="clear" w:color="auto" w:fill="D9D9D9"/>
          </w:tcPr>
          <w:p w14:paraId="1AB72743" w14:textId="77777777" w:rsidR="009F6D6C" w:rsidRPr="002E658D" w:rsidRDefault="009F6D6C" w:rsidP="0002255D">
            <w:pPr>
              <w:rPr>
                <w:rFonts w:cs="Arial"/>
                <w:b/>
                <w:sz w:val="18"/>
                <w:szCs w:val="18"/>
              </w:rPr>
            </w:pPr>
          </w:p>
        </w:tc>
        <w:tc>
          <w:tcPr>
            <w:tcW w:w="1695" w:type="dxa"/>
            <w:tcBorders>
              <w:top w:val="single" w:sz="6" w:space="0" w:color="auto"/>
              <w:bottom w:val="single" w:sz="6" w:space="0" w:color="auto"/>
            </w:tcBorders>
            <w:shd w:val="clear" w:color="auto" w:fill="D9D9D9"/>
          </w:tcPr>
          <w:p w14:paraId="7F69EB5C" w14:textId="77777777" w:rsidR="009F6D6C" w:rsidRPr="002E658D" w:rsidRDefault="00420ACC" w:rsidP="009F6D6C">
            <w:pPr>
              <w:jc w:val="center"/>
              <w:rPr>
                <w:rFonts w:cs="Arial"/>
                <w:b/>
                <w:sz w:val="18"/>
                <w:szCs w:val="18"/>
              </w:rPr>
            </w:pPr>
            <w:r w:rsidRPr="002E658D">
              <w:rPr>
                <w:rFonts w:cs="Arial"/>
                <w:b/>
                <w:sz w:val="18"/>
                <w:szCs w:val="18"/>
              </w:rPr>
              <w:t>Años de vida útil</w:t>
            </w:r>
          </w:p>
        </w:tc>
      </w:tr>
      <w:tr w:rsidR="0002255D" w:rsidRPr="002E658D" w14:paraId="3E741306" w14:textId="77777777" w:rsidTr="00F8559D">
        <w:trPr>
          <w:cantSplit/>
          <w:jc w:val="center"/>
        </w:trPr>
        <w:tc>
          <w:tcPr>
            <w:tcW w:w="7428" w:type="dxa"/>
            <w:tcBorders>
              <w:top w:val="single" w:sz="6" w:space="0" w:color="auto"/>
            </w:tcBorders>
          </w:tcPr>
          <w:p w14:paraId="7F27B640" w14:textId="77777777" w:rsidR="0002255D" w:rsidRPr="002E658D" w:rsidRDefault="0002255D" w:rsidP="0002255D">
            <w:pPr>
              <w:rPr>
                <w:rFonts w:cs="Arial"/>
                <w:sz w:val="18"/>
                <w:szCs w:val="18"/>
              </w:rPr>
            </w:pPr>
          </w:p>
        </w:tc>
        <w:tc>
          <w:tcPr>
            <w:tcW w:w="1695" w:type="dxa"/>
            <w:tcBorders>
              <w:top w:val="single" w:sz="6" w:space="0" w:color="auto"/>
            </w:tcBorders>
          </w:tcPr>
          <w:p w14:paraId="3187B694" w14:textId="77777777" w:rsidR="0002255D" w:rsidRPr="002E658D" w:rsidRDefault="0002255D" w:rsidP="009F6D6C">
            <w:pPr>
              <w:ind w:right="340"/>
              <w:jc w:val="right"/>
              <w:rPr>
                <w:rFonts w:cs="Arial"/>
                <w:sz w:val="18"/>
                <w:szCs w:val="18"/>
              </w:rPr>
            </w:pPr>
          </w:p>
        </w:tc>
      </w:tr>
      <w:tr w:rsidR="00077AD6" w:rsidRPr="002E658D" w14:paraId="5CA65D57" w14:textId="77777777" w:rsidTr="00F8559D">
        <w:trPr>
          <w:cantSplit/>
          <w:jc w:val="center"/>
        </w:trPr>
        <w:tc>
          <w:tcPr>
            <w:tcW w:w="7428" w:type="dxa"/>
          </w:tcPr>
          <w:p w14:paraId="060A9D0F" w14:textId="77777777" w:rsidR="00077AD6" w:rsidRPr="002E658D" w:rsidRDefault="00881C1D" w:rsidP="0002255D">
            <w:pPr>
              <w:rPr>
                <w:rFonts w:cs="Arial"/>
                <w:sz w:val="18"/>
                <w:szCs w:val="18"/>
              </w:rPr>
            </w:pPr>
            <w:r w:rsidRPr="002E658D">
              <w:rPr>
                <w:rFonts w:cs="Arial"/>
                <w:sz w:val="18"/>
                <w:szCs w:val="18"/>
              </w:rPr>
              <w:t>M</w:t>
            </w:r>
            <w:r w:rsidR="00077AD6" w:rsidRPr="002E658D">
              <w:rPr>
                <w:rFonts w:cs="Arial"/>
                <w:sz w:val="18"/>
                <w:szCs w:val="18"/>
              </w:rPr>
              <w:t>aquinaria</w:t>
            </w:r>
          </w:p>
        </w:tc>
        <w:tc>
          <w:tcPr>
            <w:tcW w:w="1695" w:type="dxa"/>
          </w:tcPr>
          <w:p w14:paraId="6037EDB0" w14:textId="77777777" w:rsidR="00077AD6" w:rsidRPr="002E658D" w:rsidRDefault="00420ACC" w:rsidP="00420ACC">
            <w:pPr>
              <w:ind w:right="340"/>
              <w:jc w:val="right"/>
              <w:rPr>
                <w:rFonts w:cs="Arial"/>
                <w:sz w:val="18"/>
                <w:szCs w:val="18"/>
              </w:rPr>
            </w:pPr>
            <w:r w:rsidRPr="002E658D">
              <w:rPr>
                <w:rFonts w:cs="Arial"/>
                <w:sz w:val="18"/>
                <w:szCs w:val="18"/>
              </w:rPr>
              <w:t>8-</w:t>
            </w:r>
            <w:r w:rsidR="00077AD6" w:rsidRPr="002E658D">
              <w:rPr>
                <w:rFonts w:cs="Arial"/>
                <w:sz w:val="18"/>
                <w:szCs w:val="18"/>
              </w:rPr>
              <w:t>1</w:t>
            </w:r>
            <w:r w:rsidR="005D50FB" w:rsidRPr="002E658D">
              <w:rPr>
                <w:rFonts w:cs="Arial"/>
                <w:sz w:val="18"/>
                <w:szCs w:val="18"/>
              </w:rPr>
              <w:t>2</w:t>
            </w:r>
            <w:r w:rsidRPr="002E658D">
              <w:rPr>
                <w:rFonts w:cs="Arial"/>
                <w:sz w:val="18"/>
                <w:szCs w:val="18"/>
              </w:rPr>
              <w:t xml:space="preserve"> años</w:t>
            </w:r>
          </w:p>
        </w:tc>
      </w:tr>
      <w:tr w:rsidR="005D50FB" w:rsidRPr="002E658D" w14:paraId="75257E39" w14:textId="77777777" w:rsidTr="00F8559D">
        <w:trPr>
          <w:cantSplit/>
          <w:jc w:val="center"/>
        </w:trPr>
        <w:tc>
          <w:tcPr>
            <w:tcW w:w="7428" w:type="dxa"/>
          </w:tcPr>
          <w:p w14:paraId="7557BBBA" w14:textId="77777777" w:rsidR="005D50FB" w:rsidRPr="002E658D" w:rsidRDefault="005D50FB" w:rsidP="0002255D">
            <w:pPr>
              <w:rPr>
                <w:rFonts w:cs="Arial"/>
                <w:sz w:val="18"/>
                <w:szCs w:val="18"/>
              </w:rPr>
            </w:pPr>
            <w:r w:rsidRPr="002E658D">
              <w:rPr>
                <w:rFonts w:cs="Arial"/>
                <w:sz w:val="18"/>
                <w:szCs w:val="18"/>
              </w:rPr>
              <w:t>Utillaje</w:t>
            </w:r>
          </w:p>
        </w:tc>
        <w:tc>
          <w:tcPr>
            <w:tcW w:w="1695" w:type="dxa"/>
          </w:tcPr>
          <w:p w14:paraId="41C9C8B4" w14:textId="77777777" w:rsidR="005D50FB" w:rsidRPr="002E658D" w:rsidRDefault="005D50FB" w:rsidP="00420ACC">
            <w:pPr>
              <w:ind w:right="340"/>
              <w:jc w:val="right"/>
              <w:rPr>
                <w:rFonts w:cs="Arial"/>
                <w:sz w:val="18"/>
                <w:szCs w:val="18"/>
              </w:rPr>
            </w:pPr>
            <w:r w:rsidRPr="002E658D">
              <w:rPr>
                <w:rFonts w:cs="Arial"/>
                <w:sz w:val="18"/>
                <w:szCs w:val="18"/>
              </w:rPr>
              <w:t>3 años</w:t>
            </w:r>
          </w:p>
        </w:tc>
      </w:tr>
      <w:tr w:rsidR="005D50FB" w:rsidRPr="002E658D" w14:paraId="41C2039B" w14:textId="77777777" w:rsidTr="00F8559D">
        <w:trPr>
          <w:cantSplit/>
          <w:jc w:val="center"/>
        </w:trPr>
        <w:tc>
          <w:tcPr>
            <w:tcW w:w="7428" w:type="dxa"/>
          </w:tcPr>
          <w:p w14:paraId="3A6852EF" w14:textId="77777777" w:rsidR="005D50FB" w:rsidRPr="002E658D" w:rsidRDefault="005D50FB" w:rsidP="0002255D">
            <w:pPr>
              <w:rPr>
                <w:rFonts w:cs="Arial"/>
                <w:sz w:val="18"/>
                <w:szCs w:val="18"/>
              </w:rPr>
            </w:pPr>
            <w:r w:rsidRPr="002E658D">
              <w:rPr>
                <w:rFonts w:cs="Arial"/>
                <w:sz w:val="18"/>
                <w:szCs w:val="18"/>
              </w:rPr>
              <w:t>Otras instalaciones</w:t>
            </w:r>
          </w:p>
        </w:tc>
        <w:tc>
          <w:tcPr>
            <w:tcW w:w="1695" w:type="dxa"/>
          </w:tcPr>
          <w:p w14:paraId="4F4268F9" w14:textId="77777777" w:rsidR="005D50FB" w:rsidRPr="002E658D" w:rsidRDefault="005D50FB" w:rsidP="00420ACC">
            <w:pPr>
              <w:ind w:right="340"/>
              <w:jc w:val="right"/>
              <w:rPr>
                <w:rFonts w:cs="Arial"/>
                <w:sz w:val="18"/>
                <w:szCs w:val="18"/>
              </w:rPr>
            </w:pPr>
            <w:r w:rsidRPr="002E658D">
              <w:rPr>
                <w:rFonts w:cs="Arial"/>
                <w:sz w:val="18"/>
                <w:szCs w:val="18"/>
              </w:rPr>
              <w:t>8-12 años</w:t>
            </w:r>
          </w:p>
        </w:tc>
      </w:tr>
      <w:tr w:rsidR="005D50FB" w:rsidRPr="002E658D" w14:paraId="62C2B5EC" w14:textId="77777777" w:rsidTr="00F8559D">
        <w:trPr>
          <w:cantSplit/>
          <w:jc w:val="center"/>
        </w:trPr>
        <w:tc>
          <w:tcPr>
            <w:tcW w:w="7428" w:type="dxa"/>
          </w:tcPr>
          <w:p w14:paraId="4B112168" w14:textId="77777777" w:rsidR="005D50FB" w:rsidRPr="002E658D" w:rsidRDefault="005D50FB" w:rsidP="0002255D">
            <w:pPr>
              <w:rPr>
                <w:rFonts w:cs="Arial"/>
                <w:sz w:val="18"/>
                <w:szCs w:val="18"/>
              </w:rPr>
            </w:pPr>
            <w:r w:rsidRPr="002E658D">
              <w:rPr>
                <w:rFonts w:cs="Arial"/>
                <w:sz w:val="18"/>
                <w:szCs w:val="18"/>
              </w:rPr>
              <w:t xml:space="preserve">Mobiliario </w:t>
            </w:r>
          </w:p>
        </w:tc>
        <w:tc>
          <w:tcPr>
            <w:tcW w:w="1695" w:type="dxa"/>
          </w:tcPr>
          <w:p w14:paraId="6B3B7349" w14:textId="77777777" w:rsidR="005D50FB" w:rsidRPr="002E658D" w:rsidRDefault="005D50FB" w:rsidP="00420ACC">
            <w:pPr>
              <w:ind w:right="340"/>
              <w:jc w:val="right"/>
              <w:rPr>
                <w:rFonts w:cs="Arial"/>
                <w:sz w:val="18"/>
                <w:szCs w:val="18"/>
              </w:rPr>
            </w:pPr>
            <w:r w:rsidRPr="002E658D">
              <w:rPr>
                <w:rFonts w:cs="Arial"/>
                <w:sz w:val="18"/>
                <w:szCs w:val="18"/>
              </w:rPr>
              <w:t>10 años</w:t>
            </w:r>
          </w:p>
        </w:tc>
      </w:tr>
      <w:tr w:rsidR="005D50FB" w:rsidRPr="002E658D" w14:paraId="1C1D3F3D" w14:textId="77777777" w:rsidTr="00F8559D">
        <w:trPr>
          <w:cantSplit/>
          <w:jc w:val="center"/>
        </w:trPr>
        <w:tc>
          <w:tcPr>
            <w:tcW w:w="7428" w:type="dxa"/>
          </w:tcPr>
          <w:p w14:paraId="62CA090E" w14:textId="77777777" w:rsidR="005D50FB" w:rsidRPr="002E658D" w:rsidRDefault="005D50FB" w:rsidP="0002255D">
            <w:pPr>
              <w:rPr>
                <w:rFonts w:cs="Arial"/>
                <w:sz w:val="18"/>
                <w:szCs w:val="18"/>
              </w:rPr>
            </w:pPr>
            <w:r w:rsidRPr="002E658D">
              <w:rPr>
                <w:rFonts w:cs="Arial"/>
                <w:sz w:val="18"/>
                <w:szCs w:val="18"/>
              </w:rPr>
              <w:t>Equipos para procesos de información</w:t>
            </w:r>
          </w:p>
        </w:tc>
        <w:tc>
          <w:tcPr>
            <w:tcW w:w="1695" w:type="dxa"/>
          </w:tcPr>
          <w:p w14:paraId="7BCA549F" w14:textId="77777777" w:rsidR="005D50FB" w:rsidRPr="002E658D" w:rsidRDefault="005D50FB" w:rsidP="00420ACC">
            <w:pPr>
              <w:ind w:right="340"/>
              <w:jc w:val="right"/>
              <w:rPr>
                <w:rFonts w:cs="Arial"/>
                <w:sz w:val="18"/>
                <w:szCs w:val="18"/>
              </w:rPr>
            </w:pPr>
            <w:r w:rsidRPr="002E658D">
              <w:rPr>
                <w:rFonts w:cs="Arial"/>
                <w:sz w:val="18"/>
                <w:szCs w:val="18"/>
              </w:rPr>
              <w:t>4 años</w:t>
            </w:r>
          </w:p>
        </w:tc>
      </w:tr>
      <w:tr w:rsidR="005D50FB" w:rsidRPr="002E658D" w14:paraId="11F4F268" w14:textId="77777777" w:rsidTr="00F8559D">
        <w:trPr>
          <w:cantSplit/>
          <w:jc w:val="center"/>
        </w:trPr>
        <w:tc>
          <w:tcPr>
            <w:tcW w:w="7428" w:type="dxa"/>
            <w:tcBorders>
              <w:bottom w:val="single" w:sz="6" w:space="0" w:color="auto"/>
            </w:tcBorders>
          </w:tcPr>
          <w:p w14:paraId="290FDB28" w14:textId="77777777" w:rsidR="005D50FB" w:rsidRPr="002E658D" w:rsidRDefault="005D50FB" w:rsidP="0002255D">
            <w:pPr>
              <w:rPr>
                <w:rFonts w:cs="Arial"/>
                <w:sz w:val="18"/>
                <w:szCs w:val="18"/>
              </w:rPr>
            </w:pPr>
            <w:r w:rsidRPr="002E658D">
              <w:rPr>
                <w:rFonts w:cs="Arial"/>
                <w:sz w:val="18"/>
                <w:szCs w:val="18"/>
              </w:rPr>
              <w:t>Elementos de transporte</w:t>
            </w:r>
          </w:p>
        </w:tc>
        <w:tc>
          <w:tcPr>
            <w:tcW w:w="1695" w:type="dxa"/>
            <w:tcBorders>
              <w:bottom w:val="single" w:sz="6" w:space="0" w:color="auto"/>
            </w:tcBorders>
          </w:tcPr>
          <w:p w14:paraId="605758C2" w14:textId="77777777" w:rsidR="005D50FB" w:rsidRPr="002E658D" w:rsidRDefault="005D50FB" w:rsidP="00420ACC">
            <w:pPr>
              <w:ind w:right="340"/>
              <w:jc w:val="right"/>
              <w:rPr>
                <w:rFonts w:cs="Arial"/>
                <w:sz w:val="18"/>
                <w:szCs w:val="18"/>
              </w:rPr>
            </w:pPr>
            <w:r w:rsidRPr="002E658D">
              <w:rPr>
                <w:rFonts w:cs="Arial"/>
                <w:sz w:val="18"/>
                <w:szCs w:val="18"/>
              </w:rPr>
              <w:t>8-10 años</w:t>
            </w:r>
          </w:p>
        </w:tc>
      </w:tr>
    </w:tbl>
    <w:p w14:paraId="66C3D8E1" w14:textId="77777777" w:rsidR="0020539E" w:rsidRDefault="0020539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27D81CDC" w14:textId="77777777" w:rsidR="003B133E" w:rsidRDefault="003B133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9E05511" w14:textId="207E498B" w:rsidR="009D1088" w:rsidRPr="000C5407" w:rsidRDefault="00881C1D"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r w:rsidRPr="002E658D">
        <w:t>La Sociedad realiza una parte</w:t>
      </w:r>
      <w:r w:rsidRPr="000C5407">
        <w:t xml:space="preserve"> importante de su actividad en locales arrendados, cuyos contratos son operativos atendiendo a las características de los mismos</w:t>
      </w:r>
      <w:r w:rsidR="009D1088" w:rsidRPr="000C5407">
        <w:t>.</w:t>
      </w:r>
    </w:p>
    <w:p w14:paraId="2E2C5C4C" w14:textId="77777777" w:rsidR="009D1088" w:rsidRPr="000C5407" w:rsidRDefault="009D1088"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6DD9178" w14:textId="77777777" w:rsidR="00AB48DB" w:rsidRPr="000C5407" w:rsidRDefault="00077AD6"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rPr>
          <w:rFonts w:cs="Arial"/>
        </w:rPr>
      </w:pPr>
      <w:r w:rsidRPr="000C5407">
        <w:rPr>
          <w:rFonts w:cs="Arial"/>
        </w:rPr>
        <w:t>Los costes de acondicionamiento de los locales arrendados se amortizan en el plazo de arrendamiento. A estos efectos, se efectúan dotaciones</w:t>
      </w:r>
      <w:r w:rsidR="001C177F" w:rsidRPr="000C5407">
        <w:rPr>
          <w:rFonts w:cs="Arial"/>
        </w:rPr>
        <w:t xml:space="preserve"> para amortizaciones</w:t>
      </w:r>
      <w:r w:rsidR="00D71218">
        <w:rPr>
          <w:rFonts w:cs="Arial"/>
        </w:rPr>
        <w:t xml:space="preserve"> adicionales</w:t>
      </w:r>
      <w:r w:rsidRPr="000C5407">
        <w:rPr>
          <w:rFonts w:cs="Arial"/>
        </w:rPr>
        <w:t>, para aquellas instalaciones fijas cuya vida útil supera el plazo de arrendamiento, con la finalidad de complementar la amortización acumulada al término del contrato.</w:t>
      </w:r>
    </w:p>
    <w:p w14:paraId="2D229BD6" w14:textId="77777777" w:rsidR="00536B8D" w:rsidRDefault="00CB4F6C" w:rsidP="00AD12B2">
      <w:pPr>
        <w:autoSpaceDE w:val="0"/>
        <w:autoSpaceDN w:val="0"/>
        <w:adjustRightInd w:val="0"/>
        <w:spacing w:before="240"/>
        <w:rPr>
          <w:rFonts w:cs="Arial"/>
        </w:rPr>
      </w:pPr>
      <w:r w:rsidRPr="000C5407">
        <w:rPr>
          <w:rFonts w:cs="Arial"/>
        </w:rPr>
        <w:t xml:space="preserve">En cada cierre de ejercicio, la Sociedad revisa los valores residuales, </w:t>
      </w:r>
      <w:r w:rsidR="00535F8C" w:rsidRPr="000C5407">
        <w:rPr>
          <w:rFonts w:cs="Arial"/>
        </w:rPr>
        <w:t xml:space="preserve">las </w:t>
      </w:r>
      <w:r w:rsidRPr="000C5407">
        <w:rPr>
          <w:rFonts w:cs="Arial"/>
        </w:rPr>
        <w:t xml:space="preserve">vidas útiles y </w:t>
      </w:r>
      <w:r w:rsidR="00535F8C" w:rsidRPr="000C5407">
        <w:rPr>
          <w:rFonts w:cs="Arial"/>
        </w:rPr>
        <w:t xml:space="preserve">los </w:t>
      </w:r>
      <w:r w:rsidRPr="000C5407">
        <w:rPr>
          <w:rFonts w:cs="Arial"/>
        </w:rPr>
        <w:t>método</w:t>
      </w:r>
      <w:r w:rsidR="00535F8C" w:rsidRPr="000C5407">
        <w:rPr>
          <w:rFonts w:cs="Arial"/>
        </w:rPr>
        <w:t>s de amortización del inmovilizado material</w:t>
      </w:r>
      <w:r w:rsidRPr="000C5407">
        <w:rPr>
          <w:rFonts w:cs="Arial"/>
        </w:rPr>
        <w:t xml:space="preserve"> y</w:t>
      </w:r>
      <w:r w:rsidR="00535F8C" w:rsidRPr="000C5407">
        <w:rPr>
          <w:rFonts w:cs="Arial"/>
        </w:rPr>
        <w:t>,</w:t>
      </w:r>
      <w:r w:rsidRPr="000C5407">
        <w:rPr>
          <w:rFonts w:cs="Arial"/>
        </w:rPr>
        <w:t xml:space="preserve"> si procede, se ajustan de forma pros</w:t>
      </w:r>
      <w:r w:rsidR="00CB266A" w:rsidRPr="000C5407">
        <w:rPr>
          <w:rFonts w:cs="Arial"/>
        </w:rPr>
        <w:t>pectiva.</w:t>
      </w:r>
    </w:p>
    <w:p w14:paraId="23C1224E" w14:textId="77777777" w:rsidR="006F54E2" w:rsidRPr="000C5407" w:rsidRDefault="00B9326B" w:rsidP="00CB266A">
      <w:pPr>
        <w:spacing w:before="240"/>
        <w:rPr>
          <w:rFonts w:cs="Arial"/>
          <w:b/>
        </w:rPr>
      </w:pPr>
      <w:r w:rsidRPr="000C5407">
        <w:rPr>
          <w:rFonts w:cs="Arial"/>
          <w:b/>
        </w:rPr>
        <w:t>4.3</w:t>
      </w:r>
      <w:r w:rsidRPr="000C5407">
        <w:rPr>
          <w:rFonts w:cs="Arial"/>
          <w:b/>
        </w:rPr>
        <w:tab/>
      </w:r>
      <w:r w:rsidR="006F54E2" w:rsidRPr="000C5407">
        <w:rPr>
          <w:rFonts w:cs="Arial"/>
          <w:b/>
        </w:rPr>
        <w:t xml:space="preserve">Deterioro </w:t>
      </w:r>
      <w:r w:rsidR="00C72122" w:rsidRPr="000C5407">
        <w:rPr>
          <w:rFonts w:cs="Arial"/>
          <w:b/>
        </w:rPr>
        <w:t xml:space="preserve">del valor </w:t>
      </w:r>
      <w:r w:rsidR="006F54E2" w:rsidRPr="000C5407">
        <w:rPr>
          <w:rFonts w:cs="Arial"/>
          <w:b/>
        </w:rPr>
        <w:t xml:space="preserve">de </w:t>
      </w:r>
      <w:r w:rsidR="00C72122" w:rsidRPr="000C5407">
        <w:rPr>
          <w:rFonts w:cs="Arial"/>
          <w:b/>
        </w:rPr>
        <w:t xml:space="preserve">los </w:t>
      </w:r>
      <w:r w:rsidR="006F54E2" w:rsidRPr="000C5407">
        <w:rPr>
          <w:rFonts w:cs="Arial"/>
          <w:b/>
        </w:rPr>
        <w:t>activos no financieros</w:t>
      </w:r>
    </w:p>
    <w:p w14:paraId="434DE1B4" w14:textId="77777777" w:rsidR="006F54E2" w:rsidRPr="000C5407" w:rsidRDefault="00C72122" w:rsidP="00C34824">
      <w:pPr>
        <w:autoSpaceDE w:val="0"/>
        <w:autoSpaceDN w:val="0"/>
        <w:adjustRightInd w:val="0"/>
        <w:spacing w:before="240"/>
        <w:rPr>
          <w:rFonts w:cs="Arial"/>
        </w:rPr>
      </w:pPr>
      <w:r w:rsidRPr="000C5407">
        <w:rPr>
          <w:rFonts w:cs="Arial"/>
        </w:rPr>
        <w:t xml:space="preserve">Al menos al cierre del ejercicio, la Sociedad evalúa si existen indicios de que algún activo </w:t>
      </w:r>
      <w:r w:rsidR="00C873B3" w:rsidRPr="000C5407">
        <w:rPr>
          <w:rFonts w:cs="Arial"/>
        </w:rPr>
        <w:t xml:space="preserve">no corriente </w:t>
      </w:r>
      <w:r w:rsidRPr="000C5407">
        <w:rPr>
          <w:rFonts w:cs="Arial"/>
        </w:rPr>
        <w:t>o, en su caso, alguna uni</w:t>
      </w:r>
      <w:r w:rsidR="00597B37" w:rsidRPr="000C5407">
        <w:rPr>
          <w:rFonts w:cs="Arial"/>
        </w:rPr>
        <w:t xml:space="preserve">dad generadora de efectivo </w:t>
      </w:r>
      <w:r w:rsidR="004B2B76" w:rsidRPr="000C5407">
        <w:rPr>
          <w:rFonts w:cs="Arial"/>
        </w:rPr>
        <w:t>pueda</w:t>
      </w:r>
      <w:r w:rsidRPr="000C5407">
        <w:rPr>
          <w:rFonts w:cs="Arial"/>
        </w:rPr>
        <w:t xml:space="preserve"> estar </w:t>
      </w:r>
      <w:r w:rsidR="004B2B76" w:rsidRPr="000C5407">
        <w:rPr>
          <w:rFonts w:cs="Arial"/>
        </w:rPr>
        <w:t>deteriorado</w:t>
      </w:r>
      <w:r w:rsidR="00E64A03">
        <w:rPr>
          <w:rFonts w:cs="Arial"/>
        </w:rPr>
        <w:t xml:space="preserve"> y, si</w:t>
      </w:r>
      <w:r w:rsidRPr="000C5407">
        <w:rPr>
          <w:rFonts w:cs="Arial"/>
        </w:rPr>
        <w:t xml:space="preserve"> existen indicios</w:t>
      </w:r>
      <w:r w:rsidR="006F54E2" w:rsidRPr="000C5407">
        <w:rPr>
          <w:rFonts w:cs="Arial"/>
        </w:rPr>
        <w:t xml:space="preserve"> se estima</w:t>
      </w:r>
      <w:r w:rsidR="00C873B3" w:rsidRPr="000C5407">
        <w:rPr>
          <w:rFonts w:cs="Arial"/>
        </w:rPr>
        <w:t>n</w:t>
      </w:r>
      <w:r w:rsidR="006F54E2" w:rsidRPr="000C5407">
        <w:rPr>
          <w:rFonts w:cs="Arial"/>
        </w:rPr>
        <w:t xml:space="preserve"> </w:t>
      </w:r>
      <w:r w:rsidR="00C873B3" w:rsidRPr="000C5407">
        <w:rPr>
          <w:rFonts w:cs="Arial"/>
        </w:rPr>
        <w:t>sus</w:t>
      </w:r>
      <w:r w:rsidR="006F54E2" w:rsidRPr="000C5407">
        <w:rPr>
          <w:rFonts w:cs="Arial"/>
        </w:rPr>
        <w:t xml:space="preserve"> </w:t>
      </w:r>
      <w:r w:rsidR="000F49DC" w:rsidRPr="000C5407">
        <w:rPr>
          <w:rFonts w:cs="Arial"/>
        </w:rPr>
        <w:t>importe</w:t>
      </w:r>
      <w:r w:rsidR="00C873B3" w:rsidRPr="000C5407">
        <w:rPr>
          <w:rFonts w:cs="Arial"/>
        </w:rPr>
        <w:t>s</w:t>
      </w:r>
      <w:r w:rsidR="006F54E2" w:rsidRPr="000C5407">
        <w:rPr>
          <w:rFonts w:cs="Arial"/>
        </w:rPr>
        <w:t xml:space="preserve"> recuperable</w:t>
      </w:r>
      <w:r w:rsidR="00C873B3" w:rsidRPr="000C5407">
        <w:rPr>
          <w:rFonts w:cs="Arial"/>
        </w:rPr>
        <w:t>s</w:t>
      </w:r>
      <w:r w:rsidR="006F54E2" w:rsidRPr="000C5407">
        <w:rPr>
          <w:rFonts w:cs="Arial"/>
        </w:rPr>
        <w:t>.</w:t>
      </w:r>
    </w:p>
    <w:p w14:paraId="1DD8884A" w14:textId="77777777" w:rsidR="006F54E2" w:rsidRPr="000C5407" w:rsidRDefault="006F54E2" w:rsidP="00C34824">
      <w:pPr>
        <w:autoSpaceDE w:val="0"/>
        <w:autoSpaceDN w:val="0"/>
        <w:adjustRightInd w:val="0"/>
        <w:spacing w:before="240"/>
        <w:rPr>
          <w:rFonts w:cs="Arial"/>
        </w:rPr>
      </w:pPr>
      <w:r w:rsidRPr="000C5407">
        <w:rPr>
          <w:rFonts w:cs="Arial"/>
        </w:rPr>
        <w:t xml:space="preserve">El importe recuperable es el mayor </w:t>
      </w:r>
      <w:r w:rsidR="000F49DC" w:rsidRPr="000C5407">
        <w:rPr>
          <w:rFonts w:cs="Arial"/>
        </w:rPr>
        <w:t xml:space="preserve">entre </w:t>
      </w:r>
      <w:r w:rsidR="00C873B3" w:rsidRPr="000C5407">
        <w:rPr>
          <w:rFonts w:cs="Arial"/>
        </w:rPr>
        <w:t>el</w:t>
      </w:r>
      <w:r w:rsidR="000F49DC" w:rsidRPr="000C5407">
        <w:rPr>
          <w:rFonts w:cs="Arial"/>
        </w:rPr>
        <w:t xml:space="preserve"> valor razonable menos los costes de venta y</w:t>
      </w:r>
      <w:r w:rsidRPr="000C5407">
        <w:rPr>
          <w:rFonts w:cs="Arial"/>
        </w:rPr>
        <w:t xml:space="preserve"> </w:t>
      </w:r>
      <w:r w:rsidR="00C873B3" w:rsidRPr="000C5407">
        <w:rPr>
          <w:rFonts w:cs="Arial"/>
        </w:rPr>
        <w:t>el</w:t>
      </w:r>
      <w:r w:rsidRPr="000C5407">
        <w:rPr>
          <w:rFonts w:cs="Arial"/>
        </w:rPr>
        <w:t xml:space="preserve"> valor en uso. </w:t>
      </w:r>
      <w:r w:rsidR="000F49DC" w:rsidRPr="000C5407">
        <w:rPr>
          <w:rFonts w:cs="Arial"/>
        </w:rPr>
        <w:t xml:space="preserve">Cuando el valor contable es mayor que el importe recuperable se produce una pérdida por deterioro. </w:t>
      </w:r>
      <w:r w:rsidR="00C873B3" w:rsidRPr="000C5407">
        <w:rPr>
          <w:rFonts w:cs="Arial"/>
        </w:rPr>
        <w:t>E</w:t>
      </w:r>
      <w:r w:rsidR="000F49DC" w:rsidRPr="000C5407">
        <w:rPr>
          <w:rFonts w:cs="Arial"/>
        </w:rPr>
        <w:t>l</w:t>
      </w:r>
      <w:r w:rsidR="00597B37" w:rsidRPr="000C5407">
        <w:rPr>
          <w:rFonts w:cs="Arial"/>
        </w:rPr>
        <w:t xml:space="preserve"> valor en uso</w:t>
      </w:r>
      <w:r w:rsidRPr="000C5407">
        <w:rPr>
          <w:rFonts w:cs="Arial"/>
        </w:rPr>
        <w:t xml:space="preserve"> </w:t>
      </w:r>
      <w:r w:rsidR="00C873B3" w:rsidRPr="000C5407">
        <w:rPr>
          <w:rFonts w:cs="Arial"/>
        </w:rPr>
        <w:t>es el valor actual de</w:t>
      </w:r>
      <w:r w:rsidRPr="000C5407">
        <w:rPr>
          <w:rFonts w:cs="Arial"/>
        </w:rPr>
        <w:t xml:space="preserve"> </w:t>
      </w:r>
      <w:r w:rsidR="000F49DC" w:rsidRPr="000C5407">
        <w:rPr>
          <w:rFonts w:cs="Arial"/>
        </w:rPr>
        <w:t xml:space="preserve">los flujos de </w:t>
      </w:r>
      <w:r w:rsidR="00AB48DB" w:rsidRPr="000C5407">
        <w:rPr>
          <w:rFonts w:cs="Arial"/>
        </w:rPr>
        <w:t>efectivo</w:t>
      </w:r>
      <w:r w:rsidR="000F49DC" w:rsidRPr="000C5407">
        <w:rPr>
          <w:rFonts w:cs="Arial"/>
        </w:rPr>
        <w:t xml:space="preserve"> futuros esperados</w:t>
      </w:r>
      <w:r w:rsidR="00597B37" w:rsidRPr="000C5407">
        <w:rPr>
          <w:rFonts w:cs="Arial"/>
        </w:rPr>
        <w:t>,</w:t>
      </w:r>
      <w:r w:rsidRPr="000C5407">
        <w:rPr>
          <w:rFonts w:cs="Arial"/>
        </w:rPr>
        <w:t xml:space="preserve"> utilizando tipos de </w:t>
      </w:r>
      <w:r w:rsidR="000F49DC" w:rsidRPr="000C5407">
        <w:rPr>
          <w:rFonts w:cs="Arial"/>
        </w:rPr>
        <w:t xml:space="preserve">interés de mercado sin riesgo, ajustados por </w:t>
      </w:r>
      <w:r w:rsidRPr="000C5407">
        <w:rPr>
          <w:rFonts w:cs="Arial"/>
        </w:rPr>
        <w:t xml:space="preserve">los riesgos específicos asociados </w:t>
      </w:r>
      <w:r w:rsidR="000F49DC" w:rsidRPr="000C5407">
        <w:rPr>
          <w:rFonts w:cs="Arial"/>
        </w:rPr>
        <w:t>al</w:t>
      </w:r>
      <w:r w:rsidRPr="000C5407">
        <w:rPr>
          <w:rFonts w:cs="Arial"/>
        </w:rPr>
        <w:t xml:space="preserve"> activo. Para aquellos activos que no generan flujos</w:t>
      </w:r>
      <w:r w:rsidR="000F49DC" w:rsidRPr="000C5407">
        <w:rPr>
          <w:rFonts w:cs="Arial"/>
        </w:rPr>
        <w:t xml:space="preserve"> de </w:t>
      </w:r>
      <w:r w:rsidR="00AB48DB" w:rsidRPr="000C5407">
        <w:rPr>
          <w:rFonts w:cs="Arial"/>
        </w:rPr>
        <w:t>efectivo</w:t>
      </w:r>
      <w:r w:rsidR="000F49DC" w:rsidRPr="000C5407">
        <w:rPr>
          <w:rFonts w:cs="Arial"/>
        </w:rPr>
        <w:t xml:space="preserve">, en buena medida, </w:t>
      </w:r>
      <w:r w:rsidRPr="000C5407">
        <w:rPr>
          <w:rFonts w:cs="Arial"/>
        </w:rPr>
        <w:t>independientes</w:t>
      </w:r>
      <w:r w:rsidR="000F49DC" w:rsidRPr="000C5407">
        <w:rPr>
          <w:rFonts w:cs="Arial"/>
        </w:rPr>
        <w:t xml:space="preserve"> de los derivados de otros activos o grupos de activos</w:t>
      </w:r>
      <w:r w:rsidRPr="000C5407">
        <w:rPr>
          <w:rFonts w:cs="Arial"/>
        </w:rPr>
        <w:t xml:space="preserve">, el importe recuperable se determina para las unidades generadoras de efectivo a las que pertenecen </w:t>
      </w:r>
      <w:r w:rsidR="000F49DC" w:rsidRPr="000C5407">
        <w:rPr>
          <w:rFonts w:cs="Arial"/>
        </w:rPr>
        <w:t>dichos</w:t>
      </w:r>
      <w:r w:rsidRPr="000C5407">
        <w:rPr>
          <w:rFonts w:cs="Arial"/>
        </w:rPr>
        <w:t xml:space="preserve"> activos.</w:t>
      </w:r>
    </w:p>
    <w:p w14:paraId="16F146D1" w14:textId="77777777" w:rsidR="007F0F1A" w:rsidRPr="000C5407" w:rsidRDefault="007F0F1A" w:rsidP="007F0F1A">
      <w:pPr>
        <w:autoSpaceDE w:val="0"/>
        <w:autoSpaceDN w:val="0"/>
        <w:adjustRightInd w:val="0"/>
        <w:rPr>
          <w:rFonts w:cs="Arial"/>
        </w:rPr>
      </w:pPr>
    </w:p>
    <w:p w14:paraId="413681CA" w14:textId="77777777" w:rsidR="006F54E2" w:rsidRPr="000C5407" w:rsidRDefault="006F54E2" w:rsidP="007F0F1A">
      <w:pPr>
        <w:autoSpaceDE w:val="0"/>
        <w:autoSpaceDN w:val="0"/>
        <w:adjustRightInd w:val="0"/>
        <w:rPr>
          <w:rFonts w:cs="Arial"/>
        </w:rPr>
      </w:pPr>
      <w:r w:rsidRPr="000C5407">
        <w:rPr>
          <w:rFonts w:cs="Arial"/>
        </w:rPr>
        <w:t xml:space="preserve">Las </w:t>
      </w:r>
      <w:r w:rsidR="00D45031" w:rsidRPr="000C5407">
        <w:rPr>
          <w:rFonts w:cs="Arial"/>
        </w:rPr>
        <w:t>correcciones valorativas</w:t>
      </w:r>
      <w:r w:rsidRPr="000C5407">
        <w:rPr>
          <w:rFonts w:cs="Arial"/>
        </w:rPr>
        <w:t xml:space="preserve"> por deterioro </w:t>
      </w:r>
      <w:r w:rsidR="00D45031" w:rsidRPr="000C5407">
        <w:rPr>
          <w:rFonts w:cs="Arial"/>
        </w:rPr>
        <w:t xml:space="preserve">y su reversión </w:t>
      </w:r>
      <w:r w:rsidRPr="000C5407">
        <w:rPr>
          <w:rFonts w:cs="Arial"/>
        </w:rPr>
        <w:t xml:space="preserve">se contabilizan </w:t>
      </w:r>
      <w:r w:rsidR="00D45031" w:rsidRPr="000C5407">
        <w:rPr>
          <w:rFonts w:cs="Arial"/>
        </w:rPr>
        <w:t>en</w:t>
      </w:r>
      <w:r w:rsidRPr="000C5407">
        <w:rPr>
          <w:rFonts w:cs="Arial"/>
        </w:rPr>
        <w:t xml:space="preserve"> la</w:t>
      </w:r>
      <w:r w:rsidR="00D45031" w:rsidRPr="000C5407">
        <w:rPr>
          <w:rFonts w:cs="Arial"/>
        </w:rPr>
        <w:t xml:space="preserve"> cuenta de pérdidas y ganancias. Las correcciones valorativas por deterioro </w:t>
      </w:r>
      <w:r w:rsidRPr="000C5407">
        <w:rPr>
          <w:rFonts w:cs="Arial"/>
        </w:rPr>
        <w:t>se revierten</w:t>
      </w:r>
      <w:r w:rsidR="00D45031" w:rsidRPr="000C5407">
        <w:rPr>
          <w:rFonts w:cs="Arial"/>
        </w:rPr>
        <w:t xml:space="preserve"> cuando las circunstancias que las motivaron </w:t>
      </w:r>
      <w:r w:rsidR="00C873B3" w:rsidRPr="000C5407">
        <w:rPr>
          <w:rFonts w:cs="Arial"/>
        </w:rPr>
        <w:t>dejan</w:t>
      </w:r>
      <w:r w:rsidR="00D45031" w:rsidRPr="000C5407">
        <w:rPr>
          <w:rFonts w:cs="Arial"/>
        </w:rPr>
        <w:t xml:space="preserve"> de existir</w:t>
      </w:r>
      <w:r w:rsidRPr="000C5407">
        <w:rPr>
          <w:rFonts w:cs="Arial"/>
        </w:rPr>
        <w:t xml:space="preserve">, excepto </w:t>
      </w:r>
      <w:r w:rsidR="00597B37" w:rsidRPr="000C5407">
        <w:rPr>
          <w:rFonts w:cs="Arial"/>
        </w:rPr>
        <w:t>la</w:t>
      </w:r>
      <w:r w:rsidR="00D45031" w:rsidRPr="000C5407">
        <w:rPr>
          <w:rFonts w:cs="Arial"/>
        </w:rPr>
        <w:t>s correspondientes a los</w:t>
      </w:r>
      <w:r w:rsidRPr="000C5407">
        <w:rPr>
          <w:rFonts w:cs="Arial"/>
        </w:rPr>
        <w:t xml:space="preserve"> fondo</w:t>
      </w:r>
      <w:r w:rsidR="00D45031" w:rsidRPr="000C5407">
        <w:rPr>
          <w:rFonts w:cs="Arial"/>
        </w:rPr>
        <w:t>s</w:t>
      </w:r>
      <w:r w:rsidRPr="000C5407">
        <w:rPr>
          <w:rFonts w:cs="Arial"/>
        </w:rPr>
        <w:t xml:space="preserve"> de comercio. La reversión </w:t>
      </w:r>
      <w:r w:rsidR="00D45031" w:rsidRPr="000C5407">
        <w:rPr>
          <w:rFonts w:cs="Arial"/>
        </w:rPr>
        <w:t xml:space="preserve">del </w:t>
      </w:r>
      <w:r w:rsidRPr="000C5407">
        <w:rPr>
          <w:rFonts w:cs="Arial"/>
        </w:rPr>
        <w:t xml:space="preserve">deterioro </w:t>
      </w:r>
      <w:r w:rsidR="00D45031" w:rsidRPr="000C5407">
        <w:rPr>
          <w:rFonts w:cs="Arial"/>
        </w:rPr>
        <w:t>tiene como</w:t>
      </w:r>
      <w:r w:rsidRPr="000C5407">
        <w:rPr>
          <w:rFonts w:cs="Arial"/>
        </w:rPr>
        <w:t xml:space="preserve"> límite el valor contable del activo que figuraría si no se hubiera reconocido previamente </w:t>
      </w:r>
      <w:r w:rsidR="00D45031" w:rsidRPr="000C5407">
        <w:rPr>
          <w:rFonts w:cs="Arial"/>
        </w:rPr>
        <w:t xml:space="preserve">el correspondiente </w:t>
      </w:r>
      <w:r w:rsidRPr="000C5407">
        <w:rPr>
          <w:rFonts w:cs="Arial"/>
        </w:rPr>
        <w:t>deterioro</w:t>
      </w:r>
      <w:r w:rsidR="00D45031" w:rsidRPr="000C5407">
        <w:rPr>
          <w:rFonts w:cs="Arial"/>
        </w:rPr>
        <w:t xml:space="preserve"> del valor</w:t>
      </w:r>
      <w:r w:rsidRPr="000C5407">
        <w:rPr>
          <w:rFonts w:cs="Arial"/>
        </w:rPr>
        <w:t>.</w:t>
      </w:r>
    </w:p>
    <w:p w14:paraId="631DEF42" w14:textId="77777777" w:rsidR="00AB48DB" w:rsidRPr="000C5407" w:rsidRDefault="00B9326B" w:rsidP="00B9326B">
      <w:pPr>
        <w:spacing w:before="240"/>
        <w:rPr>
          <w:rFonts w:cs="Arial"/>
          <w:b/>
        </w:rPr>
      </w:pPr>
      <w:r w:rsidRPr="000C5407">
        <w:rPr>
          <w:rFonts w:cs="Arial"/>
          <w:b/>
        </w:rPr>
        <w:t>4.4</w:t>
      </w:r>
      <w:r w:rsidRPr="000C5407">
        <w:rPr>
          <w:rFonts w:cs="Arial"/>
          <w:b/>
        </w:rPr>
        <w:tab/>
      </w:r>
      <w:r w:rsidR="00AB48DB" w:rsidRPr="000C5407">
        <w:rPr>
          <w:rFonts w:cs="Arial"/>
          <w:b/>
        </w:rPr>
        <w:t>Arrendamientos</w:t>
      </w:r>
    </w:p>
    <w:p w14:paraId="0E709EC1" w14:textId="77777777" w:rsidR="00AB48DB" w:rsidRPr="000C5407" w:rsidRDefault="00AB48DB" w:rsidP="00C34824">
      <w:pPr>
        <w:spacing w:before="240"/>
        <w:rPr>
          <w:rFonts w:cs="Arial"/>
        </w:rPr>
      </w:pPr>
      <w:r w:rsidRPr="000C5407">
        <w:rPr>
          <w:rFonts w:cs="Arial"/>
        </w:rPr>
        <w:t xml:space="preserve">Los contratos se califican como arrendamientos financieros cuando de sus condiciones económicas se </w:t>
      </w:r>
      <w:r w:rsidR="003372B9" w:rsidRPr="000C5407">
        <w:rPr>
          <w:rFonts w:cs="Arial"/>
        </w:rPr>
        <w:t>deduce</w:t>
      </w:r>
      <w:r w:rsidRPr="000C5407">
        <w:rPr>
          <w:rFonts w:cs="Arial"/>
        </w:rPr>
        <w:t xml:space="preserve"> que se transfieren </w:t>
      </w:r>
      <w:r w:rsidR="00DA380B" w:rsidRPr="000C5407">
        <w:rPr>
          <w:rFonts w:cs="Arial"/>
        </w:rPr>
        <w:t>a</w:t>
      </w:r>
      <w:r w:rsidR="005B10D5" w:rsidRPr="000C5407">
        <w:rPr>
          <w:rFonts w:cs="Arial"/>
        </w:rPr>
        <w:t xml:space="preserve">l arrendatario </w:t>
      </w:r>
      <w:r w:rsidRPr="000C5407">
        <w:rPr>
          <w:rFonts w:cs="Arial"/>
        </w:rPr>
        <w:t xml:space="preserve">sustancialmente todos los riesgos y beneficios inherentes a la propiedad del activo objeto del contrato. </w:t>
      </w:r>
      <w:r w:rsidR="00BE3A9F" w:rsidRPr="000C5407">
        <w:rPr>
          <w:rFonts w:cs="Arial"/>
        </w:rPr>
        <w:t>En caso cont</w:t>
      </w:r>
      <w:r w:rsidR="00D232A9" w:rsidRPr="000C5407">
        <w:rPr>
          <w:rFonts w:cs="Arial"/>
        </w:rPr>
        <w:t>r</w:t>
      </w:r>
      <w:r w:rsidR="00BE3A9F" w:rsidRPr="000C5407">
        <w:rPr>
          <w:rFonts w:cs="Arial"/>
        </w:rPr>
        <w:t xml:space="preserve">ario, los contratos </w:t>
      </w:r>
      <w:r w:rsidRPr="000C5407">
        <w:rPr>
          <w:rFonts w:cs="Arial"/>
        </w:rPr>
        <w:t>se clasifican como arrendamientos operativos.</w:t>
      </w:r>
    </w:p>
    <w:p w14:paraId="11871B8C" w14:textId="77777777" w:rsidR="00AB48DB" w:rsidRPr="000C5407" w:rsidRDefault="00AB48DB" w:rsidP="008D2C80">
      <w:pPr>
        <w:spacing w:before="240"/>
        <w:rPr>
          <w:rFonts w:cs="Arial"/>
          <w:i/>
          <w:u w:val="single"/>
        </w:rPr>
      </w:pPr>
      <w:r w:rsidRPr="000C5407">
        <w:rPr>
          <w:rFonts w:cs="Arial"/>
          <w:i/>
          <w:u w:val="single"/>
        </w:rPr>
        <w:t>Sociedad como arrendatario</w:t>
      </w:r>
    </w:p>
    <w:p w14:paraId="07387DA3" w14:textId="6B428DDC" w:rsidR="00AB48DB" w:rsidRDefault="00E1522D" w:rsidP="00C34824">
      <w:pPr>
        <w:spacing w:before="240"/>
        <w:rPr>
          <w:rFonts w:cs="Arial"/>
        </w:rPr>
      </w:pPr>
      <w:r w:rsidRPr="000C5407">
        <w:rPr>
          <w:rFonts w:cs="Arial"/>
        </w:rPr>
        <w:t xml:space="preserve">Los pagos por arrendamientos operativos se registran como gastos en la cuenta de pérdidas y ganancias </w:t>
      </w:r>
      <w:r w:rsidR="00BE3A9F" w:rsidRPr="000C5407">
        <w:rPr>
          <w:rFonts w:cs="Arial"/>
        </w:rPr>
        <w:t>cuando se devengan</w:t>
      </w:r>
      <w:r w:rsidRPr="000C5407">
        <w:rPr>
          <w:rFonts w:cs="Arial"/>
        </w:rPr>
        <w:t>.</w:t>
      </w:r>
    </w:p>
    <w:p w14:paraId="7349346B" w14:textId="5A6CE4AE" w:rsidR="00274523" w:rsidRDefault="00274523" w:rsidP="00C34824">
      <w:pPr>
        <w:spacing w:before="240"/>
        <w:rPr>
          <w:rFonts w:cs="Arial"/>
        </w:rPr>
      </w:pPr>
    </w:p>
    <w:p w14:paraId="1D389D66" w14:textId="4D29FDE2" w:rsidR="00442E70" w:rsidRPr="00EF329A" w:rsidRDefault="00D5527C" w:rsidP="00442E70">
      <w:pPr>
        <w:spacing w:before="240"/>
        <w:rPr>
          <w:rFonts w:cs="Arial"/>
          <w:b/>
        </w:rPr>
      </w:pPr>
      <w:r w:rsidRPr="00EF329A">
        <w:rPr>
          <w:rFonts w:cs="Arial"/>
          <w:b/>
        </w:rPr>
        <w:lastRenderedPageBreak/>
        <w:t>4.5</w:t>
      </w:r>
      <w:r w:rsidR="00442E70" w:rsidRPr="00EF329A">
        <w:rPr>
          <w:rFonts w:cs="Arial"/>
          <w:b/>
        </w:rPr>
        <w:tab/>
        <w:t>Activos financieros</w:t>
      </w:r>
    </w:p>
    <w:p w14:paraId="1FFB1AF6" w14:textId="77777777" w:rsidR="007076CC" w:rsidRPr="00EF329A" w:rsidRDefault="007076CC" w:rsidP="000C5407">
      <w:pPr>
        <w:tabs>
          <w:tab w:val="left" w:pos="3544"/>
        </w:tabs>
        <w:spacing w:before="240"/>
        <w:rPr>
          <w:rFonts w:cs="Arial"/>
          <w:i/>
          <w:u w:val="single"/>
        </w:rPr>
      </w:pPr>
      <w:r w:rsidRPr="00EF329A">
        <w:rPr>
          <w:rFonts w:cs="Arial"/>
          <w:i/>
          <w:u w:val="single"/>
        </w:rPr>
        <w:t>Clasificación y valoración</w:t>
      </w:r>
    </w:p>
    <w:p w14:paraId="694A950B" w14:textId="77777777" w:rsidR="00EA3A5D" w:rsidRPr="00EA3A5D" w:rsidRDefault="00EA3A5D" w:rsidP="00EA3A5D">
      <w:pPr>
        <w:tabs>
          <w:tab w:val="left" w:pos="3544"/>
        </w:tabs>
        <w:spacing w:before="240"/>
        <w:rPr>
          <w:rFonts w:cs="Arial"/>
          <w:lang w:val="es-ES"/>
        </w:rPr>
      </w:pPr>
      <w:r w:rsidRPr="00EA3A5D">
        <w:rPr>
          <w:rFonts w:cs="Arial"/>
          <w:lang w:val="es-ES"/>
        </w:rPr>
        <w:t xml:space="preserve">En el momento de reconocimiento inicial, la Sociedad clasifica todos los activos financieros en una de las categorías enumeradas a continuación, que determina el método de valoración inicial y posterior aplicable: </w:t>
      </w:r>
    </w:p>
    <w:p w14:paraId="6D44C82C"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la cuenta de pérdidas y ganancias </w:t>
      </w:r>
    </w:p>
    <w:p w14:paraId="02C01F86"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coste amortizado </w:t>
      </w:r>
    </w:p>
    <w:p w14:paraId="1F85FB93"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el patrimonio neto </w:t>
      </w:r>
    </w:p>
    <w:p w14:paraId="7210EA1A" w14:textId="3A7CA132" w:rsidR="00EA3A5D" w:rsidRDefault="00EA3A5D" w:rsidP="00EA3A5D">
      <w:pPr>
        <w:tabs>
          <w:tab w:val="left" w:pos="3544"/>
        </w:tabs>
        <w:spacing w:before="240"/>
        <w:rPr>
          <w:rFonts w:cs="Arial"/>
          <w:lang w:val="es-ES"/>
        </w:rPr>
      </w:pPr>
      <w:r w:rsidRPr="00EA3A5D">
        <w:rPr>
          <w:rFonts w:cs="Arial"/>
          <w:lang w:val="es-ES"/>
        </w:rPr>
        <w:t xml:space="preserve">- Activos financieros a coste </w:t>
      </w:r>
    </w:p>
    <w:p w14:paraId="5BF4C863" w14:textId="50C45D1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valor razonable con cambios en la cuenta de pérdidas y ganancias </w:t>
      </w:r>
    </w:p>
    <w:p w14:paraId="58B85F4C" w14:textId="77777777" w:rsidR="00EA3A5D" w:rsidRPr="00EA3A5D" w:rsidRDefault="00EA3A5D" w:rsidP="00EA3A5D">
      <w:pPr>
        <w:tabs>
          <w:tab w:val="left" w:pos="3544"/>
        </w:tabs>
        <w:spacing w:before="240"/>
        <w:rPr>
          <w:rFonts w:cs="Arial"/>
          <w:lang w:val="es-ES"/>
        </w:rPr>
      </w:pPr>
      <w:r w:rsidRPr="00EA3A5D">
        <w:rPr>
          <w:rFonts w:cs="Arial"/>
          <w:lang w:val="es-ES"/>
        </w:rPr>
        <w:t xml:space="preserve">La Sociedad clasifica un activo financiero en esta categoría salvo que proceda su clasificación en alguna de las restantes. </w:t>
      </w:r>
    </w:p>
    <w:p w14:paraId="342CBE94" w14:textId="77777777" w:rsidR="00EA3A5D" w:rsidRPr="00EA3A5D" w:rsidRDefault="00EA3A5D" w:rsidP="00EA3A5D">
      <w:pPr>
        <w:tabs>
          <w:tab w:val="left" w:pos="3544"/>
        </w:tabs>
        <w:spacing w:before="240"/>
        <w:rPr>
          <w:rFonts w:cs="Arial"/>
          <w:lang w:val="es-ES"/>
        </w:rPr>
      </w:pPr>
      <w:r w:rsidRPr="00EA3A5D">
        <w:rPr>
          <w:rFonts w:cs="Arial"/>
          <w:lang w:val="es-ES"/>
        </w:rPr>
        <w:t xml:space="preserve">En todo caso, los activos financieros mantenidos para negociar se incluyen en esta categoría. La Sociedad considera que un activo financiero se mantiene para negociar cuando se cumple al menos una de las siguientes tres circunstancias: </w:t>
      </w:r>
    </w:p>
    <w:p w14:paraId="3397F0AF" w14:textId="1E86AC92" w:rsidR="00EA3A5D" w:rsidRPr="00EA3A5D" w:rsidRDefault="00EA3A5D" w:rsidP="00A914FC">
      <w:pPr>
        <w:tabs>
          <w:tab w:val="left" w:pos="3544"/>
        </w:tabs>
        <w:spacing w:before="240"/>
        <w:ind w:left="284"/>
        <w:rPr>
          <w:rFonts w:cs="Arial"/>
          <w:lang w:val="es-ES"/>
        </w:rPr>
      </w:pPr>
      <w:r w:rsidRPr="00EA3A5D">
        <w:rPr>
          <w:rFonts w:cs="Arial"/>
          <w:lang w:val="es-ES"/>
        </w:rPr>
        <w:t xml:space="preserve">a) Se origina o adquiere con el propósito de venderlo en el corto plazo. </w:t>
      </w:r>
    </w:p>
    <w:p w14:paraId="01BC00C8"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b) Forma parte, en el momento de su reconocimiento inicial, de una cartera de instrumentos financieros identificados y gestionados conjuntamente de la que existan evidencias de actuaciones recientes para obtener ganancias en el corto plazo. </w:t>
      </w:r>
    </w:p>
    <w:p w14:paraId="774C0ACF"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c) Es un instrumento financiero derivado, siempre que no sea un contrato de garantía financiera ni haya sido designado como instrumento de cobertura. </w:t>
      </w:r>
    </w:p>
    <w:p w14:paraId="446A0922" w14:textId="77777777" w:rsidR="00EA3A5D" w:rsidRPr="00EA3A5D" w:rsidRDefault="00EA3A5D" w:rsidP="00EA3A5D">
      <w:pPr>
        <w:tabs>
          <w:tab w:val="left" w:pos="3544"/>
        </w:tabs>
        <w:spacing w:before="240"/>
        <w:rPr>
          <w:rFonts w:cs="Arial"/>
          <w:lang w:val="es-ES"/>
        </w:rPr>
      </w:pPr>
      <w:r w:rsidRPr="00EA3A5D">
        <w:rPr>
          <w:rFonts w:cs="Arial"/>
          <w:lang w:val="es-ES"/>
        </w:rPr>
        <w:t xml:space="preserve">Además de lo anterior, la Sociedad tiene la posibilidad, en el momento del reconocimiento inicial, de designar un activo financiero de forma irrevocable como medido al valor razonable con cambios en la cuenta de pérdidas y ganancias, y que en caso contrario se hubiera incluido en otra categoría (lo que suele denominarse “opción de valor razonable”). Esta opción se puede elegir si se elimina o reduce significativamente una incoherencia de valoración o asimetría contable que surgiría en otro caso de la valoración de los activos o pasivos sobre bases diferentes. </w:t>
      </w:r>
    </w:p>
    <w:p w14:paraId="32ED401C"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activos financieros clasificados en esta categoría se valoran inicialmente a valor razonable que, salvo evidencia en contrario, se asume que es el precio de la transacción, que equivale al valor razonable de la contraprestación entregada. Los costes de transacción directamente atribuibles se reconocen en la cuenta de pérdidas y ganancias del ejercicio (esto es, no se capitalizan). </w:t>
      </w:r>
    </w:p>
    <w:p w14:paraId="6C31C949" w14:textId="2442CCA0" w:rsidR="00EA3A5D" w:rsidRDefault="00EA3A5D" w:rsidP="00EA3A5D">
      <w:pPr>
        <w:tabs>
          <w:tab w:val="left" w:pos="3544"/>
        </w:tabs>
        <w:spacing w:before="240"/>
        <w:rPr>
          <w:rFonts w:cs="Arial"/>
          <w:lang w:val="es-ES"/>
        </w:rPr>
      </w:pPr>
      <w:r w:rsidRPr="00EA3A5D">
        <w:rPr>
          <w:rFonts w:cs="Arial"/>
          <w:lang w:val="es-ES"/>
        </w:rPr>
        <w:t>Con posterioridad al reconocimiento inicial, la Sociedad valora los activos financieros comprendidos en esta categoría a valor razonable con cambios en la cuenta de pérdidas y ganancias (resultado financiero).</w:t>
      </w:r>
    </w:p>
    <w:p w14:paraId="0887274B" w14:textId="7777777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coste amortizado </w:t>
      </w:r>
    </w:p>
    <w:p w14:paraId="43FB0D7C"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La Sociedad clasifica un activo financiero en esta categoría, incluso cuando esté admitido a negociación en un mercado organizado, si se cumplen las siguientes condiciones: </w:t>
      </w:r>
    </w:p>
    <w:p w14:paraId="11413274" w14:textId="7CF5871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 Sociedad mantiene la inversión bajo un modelo de gestión cuyo objetivo es recibir los flujos de efectivo derivados de la ejecución del contrato. </w:t>
      </w:r>
    </w:p>
    <w:p w14:paraId="4F956FF7" w14:textId="07DD52EA"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lastRenderedPageBreak/>
        <w:t xml:space="preserve">La gestión de una cartera de activos financieros para obtener sus flujos contractuales no implica que hayan de mantenerse necesariamente todos los instrumentos hasta su vencimiento; se podrá considerar que los activos financieros se gestionan con ese objetivo aun cuando se hayan producido o se espere que se produzcan ventas en el futuro. A tal efecto, la Sociedad considera la frecuencia, el importe y el calendario de las ventas en ejercicios anteriores, los motivos de esas ventas y las expectativas en relación con la actividad de ventas futuras. </w:t>
      </w:r>
    </w:p>
    <w:p w14:paraId="32F53331" w14:textId="23E7887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Las características contractuales del activo financiero dan lugar, en fechas especificadas, a flujos de efectivo que son únicamente cobros de principal e intereses sobre el importe del principal pendiente. Esto es, los flujos de efectivo son inherentes a un acuerdo que tiene la naturaleza de préstamo ordinario o común, sin perjuicio de que la operación se acuerde a un tipo de interés cero o por debajo de mercado. </w:t>
      </w:r>
    </w:p>
    <w:p w14:paraId="07C1F3AF" w14:textId="630D2C9E"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t xml:space="preserve">Se asume que se cumple esta condición, en el caso de que un bono o un préstamo simple con una fecha de vencimiento determinada y por el que la Sociedad cobra un tipo de interés de mercado variable, pudiendo estar sujeto a un límite. Por el contrario, se asume que no se cumple esta condición en el caso de los instrumentos convertibles en instrumentos de patrimonio neto del emisor, los préstamos con tipos de interés variables inversos (es decir, un tipo que tiene una relación inversa con los tipos de interés del mercado) o aquellos en los que el emisor puede diferir el pago de intereses, si con dicho pago se viera afectada su solvencia, sin que los intereses diferidos devenguen intereses adicionales. </w:t>
      </w:r>
    </w:p>
    <w:p w14:paraId="36AE358D"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Con carácter general, se incluyen en esta categoría los créditos por operaciones comerciales (“clientes comerciales”) y los créditos por operaciones no comerciales (“otros deudores”). </w:t>
      </w:r>
    </w:p>
    <w:p w14:paraId="544925CF" w14:textId="385CBFDA" w:rsidR="00EA3A5D" w:rsidRPr="00EA3A5D" w:rsidRDefault="00EA3A5D" w:rsidP="00EA3A5D">
      <w:pPr>
        <w:tabs>
          <w:tab w:val="left" w:pos="3544"/>
        </w:tabs>
        <w:spacing w:before="240"/>
        <w:rPr>
          <w:rFonts w:cs="Arial"/>
          <w:lang w:val="es-ES"/>
        </w:rPr>
      </w:pPr>
      <w:r w:rsidRPr="00EA3A5D">
        <w:rPr>
          <w:rFonts w:cs="Arial"/>
          <w:szCs w:val="20"/>
          <w:lang w:val="es-ES"/>
        </w:rPr>
        <w:t>Los activos financieros clasificados en esta categoría</w:t>
      </w:r>
      <w:r w:rsidRPr="00EA3A5D">
        <w:rPr>
          <w:rFonts w:cs="Arial"/>
          <w:lang w:val="es-ES"/>
        </w:rPr>
        <w:t xml:space="preserve">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153C49E6" w14:textId="77777777" w:rsidR="00EA3A5D" w:rsidRPr="00EA3A5D" w:rsidRDefault="00EA3A5D" w:rsidP="00EA3A5D">
      <w:pPr>
        <w:tabs>
          <w:tab w:val="left" w:pos="3544"/>
        </w:tabs>
        <w:spacing w:before="240"/>
        <w:rPr>
          <w:rFonts w:cs="Arial"/>
          <w:lang w:val="es-ES"/>
        </w:rPr>
      </w:pPr>
      <w:r w:rsidRPr="00EA3A5D">
        <w:rPr>
          <w:rFonts w:cs="Arial"/>
          <w:lang w:val="es-ES"/>
        </w:rPr>
        <w:t xml:space="preserve">No obstante, los créditos por operaciones comerciales con vencimiento no superior a un año y que no tengan un tipo de interés contractual explícito, así como los créditos al personal, los dividendos a cobrar y los desembolsos exigidos sobre instrumentos de patrimonio, cuyo importe se espera recibir en el corto plazo, se valoran por su valor nominal cuando el efecto de no actualizar los flujos de efectivo no es significativo. </w:t>
      </w:r>
    </w:p>
    <w:p w14:paraId="44EBABE9" w14:textId="77777777" w:rsidR="00EA3A5D" w:rsidRPr="00EA3A5D" w:rsidRDefault="00EA3A5D" w:rsidP="00EA3A5D">
      <w:pPr>
        <w:tabs>
          <w:tab w:val="left" w:pos="3544"/>
        </w:tabs>
        <w:spacing w:before="240"/>
        <w:rPr>
          <w:rFonts w:cs="Arial"/>
          <w:lang w:val="es-ES"/>
        </w:rPr>
      </w:pPr>
      <w:r w:rsidRPr="00EA3A5D">
        <w:rPr>
          <w:rFonts w:cs="Arial"/>
          <w:lang w:val="es-ES"/>
        </w:rPr>
        <w:t xml:space="preserve">Para la valoración posterior se utiliza el método del coste amortizado. Los intereses devengados se contabilizan en la cuenta de pérdidas y ganancias (ingresos financieros), aplicando el método del tipo de interés efectivo. </w:t>
      </w:r>
    </w:p>
    <w:p w14:paraId="202EDBB1"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créditos con vencimiento no superior a un año que, tal y como se ha expuesto anteriormente, se valoren inicialmente por su valor nominal, continuarán valorándose por dicho importe, salvo que se hubieran deteriorado. </w:t>
      </w:r>
    </w:p>
    <w:p w14:paraId="31B0EC85" w14:textId="75530826" w:rsidR="00EA3A5D" w:rsidRDefault="00EA3A5D" w:rsidP="00EA3A5D">
      <w:pPr>
        <w:tabs>
          <w:tab w:val="left" w:pos="3544"/>
        </w:tabs>
        <w:spacing w:before="240"/>
        <w:rPr>
          <w:rFonts w:cs="Arial"/>
          <w:lang w:val="es-ES"/>
        </w:rPr>
      </w:pPr>
      <w:r w:rsidRPr="00EA3A5D">
        <w:rPr>
          <w:rFonts w:cs="Arial"/>
          <w:lang w:val="es-ES"/>
        </w:rPr>
        <w:t>En general, cuando los flujos de efectivo contractuales de un activo financiero a coste amortizado se modifican debido a las dificultades financieras del emisor, la Sociedad analiza si procede contabilizar una pérdida por deterioro de valor.</w:t>
      </w:r>
    </w:p>
    <w:p w14:paraId="57D86E75"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valor razonable con cambios en el patrimonio neto </w:t>
      </w:r>
    </w:p>
    <w:p w14:paraId="25127232" w14:textId="77777777" w:rsidR="007769F2" w:rsidRPr="007769F2" w:rsidRDefault="007769F2" w:rsidP="007769F2">
      <w:pPr>
        <w:tabs>
          <w:tab w:val="left" w:pos="3544"/>
        </w:tabs>
        <w:spacing w:before="240"/>
        <w:rPr>
          <w:rFonts w:cs="Arial"/>
          <w:lang w:val="es-ES"/>
        </w:rPr>
      </w:pPr>
      <w:r w:rsidRPr="007769F2">
        <w:rPr>
          <w:rFonts w:cs="Arial"/>
          <w:lang w:val="es-ES"/>
        </w:rPr>
        <w:t xml:space="preserve">Se incluyen los activos financieros que cumplen las siguientes condiciones: </w:t>
      </w:r>
    </w:p>
    <w:p w14:paraId="4FB3AD06" w14:textId="1C6D677B" w:rsidR="007769F2" w:rsidRPr="007769F2" w:rsidRDefault="007769F2" w:rsidP="007769F2">
      <w:pPr>
        <w:tabs>
          <w:tab w:val="left" w:pos="3544"/>
        </w:tabs>
        <w:spacing w:before="240"/>
        <w:rPr>
          <w:rFonts w:cs="Arial"/>
          <w:lang w:val="es-ES"/>
        </w:rPr>
      </w:pPr>
      <w:r w:rsidRPr="007769F2">
        <w:rPr>
          <w:rFonts w:cs="Arial"/>
          <w:lang w:val="es-ES"/>
        </w:rPr>
        <w:t>-</w:t>
      </w:r>
      <w:r w:rsidR="000750DA">
        <w:rPr>
          <w:rFonts w:cs="Arial"/>
          <w:lang w:val="es-ES"/>
        </w:rPr>
        <w:t xml:space="preserve"> </w:t>
      </w:r>
      <w:r w:rsidRPr="007769F2">
        <w:rPr>
          <w:rFonts w:cs="Arial"/>
          <w:lang w:val="es-ES"/>
        </w:rPr>
        <w:t xml:space="preserve">El instrumento financiero no se mantiene para negociar ni procede clasificarlo a coste amortizado. </w:t>
      </w:r>
    </w:p>
    <w:p w14:paraId="46EDCB46" w14:textId="77777777" w:rsidR="007769F2" w:rsidRPr="007769F2" w:rsidRDefault="007769F2" w:rsidP="007769F2">
      <w:pPr>
        <w:tabs>
          <w:tab w:val="left" w:pos="3544"/>
        </w:tabs>
        <w:spacing w:before="240"/>
        <w:rPr>
          <w:rFonts w:cs="Arial"/>
          <w:lang w:val="es-ES"/>
        </w:rPr>
      </w:pPr>
      <w:r w:rsidRPr="007769F2">
        <w:rPr>
          <w:rFonts w:cs="Arial"/>
          <w:lang w:val="es-ES"/>
        </w:rPr>
        <w:t xml:space="preserve">- Las características contractuales del activo financiero dan lugar, en fechas especificadas, a flujos de efectivo que son únicamente cobros de principal e intereses sobre el importe del principal pendiente. </w:t>
      </w:r>
    </w:p>
    <w:p w14:paraId="79D49F18"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Además, la Sociedad tiene la opción de clasificar (de forma irrevocable) en esta categoría inversiones en instrumentos de patrimonio, siempre que no se mantengan para negociar, ni deban valorarse al coste (ver categoría de coste más adelante). </w:t>
      </w:r>
    </w:p>
    <w:p w14:paraId="2B780220" w14:textId="77777777" w:rsidR="007769F2" w:rsidRPr="007769F2" w:rsidRDefault="007769F2" w:rsidP="007769F2">
      <w:pPr>
        <w:tabs>
          <w:tab w:val="left" w:pos="3544"/>
        </w:tabs>
        <w:spacing w:before="240"/>
        <w:rPr>
          <w:rFonts w:cs="Arial"/>
          <w:lang w:val="es-ES"/>
        </w:rPr>
      </w:pPr>
      <w:r w:rsidRPr="007769F2">
        <w:rPr>
          <w:rFonts w:cs="Arial"/>
          <w:lang w:val="es-ES"/>
        </w:rPr>
        <w:t xml:space="preserve">Los activos financieros incluidos en esta categoría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35F65666" w14:textId="77777777" w:rsidR="007769F2" w:rsidRPr="007769F2" w:rsidRDefault="007769F2" w:rsidP="007769F2">
      <w:pPr>
        <w:tabs>
          <w:tab w:val="left" w:pos="3544"/>
        </w:tabs>
        <w:spacing w:before="240"/>
        <w:rPr>
          <w:rFonts w:cs="Arial"/>
          <w:lang w:val="es-ES"/>
        </w:rPr>
      </w:pPr>
      <w:r w:rsidRPr="007769F2">
        <w:rPr>
          <w:rFonts w:cs="Arial"/>
          <w:lang w:val="es-ES"/>
        </w:rPr>
        <w:t xml:space="preserve">La valoración posterior es a valor razonable, sin deducir los costes de transacción en que se pudiera incurrir en su enajenación. Los cambios que se producen en el valor razonable se registran directamente en el patrimonio neto, hasta que el activo financiero cause baja del balance o se deteriore, momento en que el importe así reconocido, se imputa a la cuenta de pérdidas y ganancias. </w:t>
      </w:r>
    </w:p>
    <w:p w14:paraId="465D598D"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correcciones valorativas por deterioro del valor y las pérdidas y ganancias que resulten por diferencias de cambio en activos financieros monetarios en moneda extranjera, se registran en la cuenta de pérdidas y ganancias y no en patrimonio neto. </w:t>
      </w:r>
    </w:p>
    <w:p w14:paraId="0D6C8AE0" w14:textId="06414F8B" w:rsidR="007769F2" w:rsidRDefault="007769F2" w:rsidP="007769F2">
      <w:pPr>
        <w:tabs>
          <w:tab w:val="left" w:pos="3544"/>
        </w:tabs>
        <w:spacing w:before="240"/>
        <w:rPr>
          <w:rFonts w:cs="Arial"/>
          <w:lang w:val="es-ES"/>
        </w:rPr>
      </w:pPr>
      <w:r w:rsidRPr="007769F2">
        <w:rPr>
          <w:rFonts w:cs="Arial"/>
          <w:lang w:val="es-ES"/>
        </w:rPr>
        <w:t>También se registran en la cuenta de pérdidas y ganancias el importe de los intereses, calculados según el método del tipo de interés efectivo, y de los dividendos devengados (ingreso financiero).</w:t>
      </w:r>
    </w:p>
    <w:p w14:paraId="6655C2AB"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coste </w:t>
      </w:r>
    </w:p>
    <w:p w14:paraId="031A1934" w14:textId="77777777" w:rsidR="007769F2" w:rsidRPr="007769F2" w:rsidRDefault="007769F2" w:rsidP="007769F2">
      <w:pPr>
        <w:tabs>
          <w:tab w:val="left" w:pos="3544"/>
        </w:tabs>
        <w:spacing w:before="240"/>
        <w:rPr>
          <w:rFonts w:cs="Arial"/>
          <w:lang w:val="es-ES"/>
        </w:rPr>
      </w:pPr>
      <w:r w:rsidRPr="007769F2">
        <w:rPr>
          <w:rFonts w:cs="Arial"/>
          <w:lang w:val="es-ES"/>
        </w:rPr>
        <w:t xml:space="preserve">La Sociedad incluye en esta categoría, en todo caso: </w:t>
      </w:r>
    </w:p>
    <w:p w14:paraId="1B4595C4"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d) Las inversiones en el patrimonio de empresas del grupo, multigrupo y asociadas (en los estados financieros individuales). </w:t>
      </w:r>
    </w:p>
    <w:p w14:paraId="2F30FB2F"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e) Las restantes inversiones en instrumentos de patrimonio cuyo valor razonable no puede determinarse por referencia a un precio cotizado en un mercado activo para un instrumento idéntico, o no puede estimarse con fiabilidad, y los derivados que tienen como subyacente a estas inversiones. </w:t>
      </w:r>
    </w:p>
    <w:p w14:paraId="5FB858A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f) Los activos financieros híbridos cuyo valor razonable no puede estimarse de manera fiable, salvo que se cumplan los requisitos para su contabilización a coste amortizado. </w:t>
      </w:r>
    </w:p>
    <w:p w14:paraId="2AAB17A7"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g) Las aportaciones realizadas como consecuencia de un contrato de cuentas en participación y similares. </w:t>
      </w:r>
    </w:p>
    <w:p w14:paraId="0C50EB7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h)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w:t>
      </w:r>
    </w:p>
    <w:p w14:paraId="66B1B605"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i) Cualquier otro activo financiero que inicialmente procediese clasificar en la cartera de valor razonable con cambios en la cuenta de pérdidas y ganancias cuando no sea posible obtener una estimación fiable de su valor razonable. </w:t>
      </w:r>
    </w:p>
    <w:p w14:paraId="1745D50B"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inversiones incluidas en esta categoría se valoran inicialmente al coste, que es equivale al valor razonable de la contraprestación entregada más los costes de transacción que les sean directamente atribuibles. Esto es, los costes de transacción inherentes se capitalizan. </w:t>
      </w:r>
    </w:p>
    <w:p w14:paraId="0F1BD1F9" w14:textId="77777777" w:rsidR="007769F2" w:rsidRPr="007769F2" w:rsidRDefault="007769F2" w:rsidP="007769F2">
      <w:pPr>
        <w:tabs>
          <w:tab w:val="left" w:pos="3544"/>
        </w:tabs>
        <w:spacing w:before="240"/>
        <w:rPr>
          <w:rFonts w:cs="Arial"/>
          <w:lang w:val="es-ES"/>
        </w:rPr>
      </w:pPr>
      <w:r w:rsidRPr="007769F2">
        <w:rPr>
          <w:rFonts w:cs="Arial"/>
          <w:lang w:val="es-ES"/>
        </w:rPr>
        <w:t xml:space="preserve">En el caso de inversiones en empresas del grupo, si existiera una inversión anterior a su calificación como empresa del grupo, multigrupo o asociada, se considerará como coste de dicha inversión el valor contable que debiera tener la misma inmediatamente antes de que la empresa pase a tener esa calificación. </w:t>
      </w:r>
    </w:p>
    <w:p w14:paraId="39530756"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La valoración posterior es también a coste, menos, en su caso, el importe acumulado de las correcciones valorativas por deterioro. </w:t>
      </w:r>
    </w:p>
    <w:p w14:paraId="414D4BD4"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aportaciones realizadas como consecuencia de un contrato de cuentas en participación y similares se valoran al coste, incrementado o disminuido por el beneficio o la pérdida, respectivamente, que correspondan a la empresa como partícipe no gestor, y menos, en su caso, el importe acumulado de las correcciones valorativas por deterioro. </w:t>
      </w:r>
    </w:p>
    <w:p w14:paraId="7BBE4466" w14:textId="724C65C2" w:rsidR="007769F2" w:rsidRDefault="007769F2" w:rsidP="007769F2">
      <w:pPr>
        <w:tabs>
          <w:tab w:val="left" w:pos="3544"/>
        </w:tabs>
        <w:spacing w:before="240"/>
        <w:rPr>
          <w:rFonts w:cs="Arial"/>
          <w:lang w:val="es-ES"/>
        </w:rPr>
      </w:pPr>
      <w:r w:rsidRPr="007769F2">
        <w:rPr>
          <w:rFonts w:cs="Arial"/>
          <w:lang w:val="es-ES"/>
        </w:rPr>
        <w:t>Se aplica este mismo criterio en los préstamos participativos cuyos intereses tienen carácter contingente, bien porque se pacta un tipo de interés fijo o variable condicionado al cumplimiento de un hito en la empresa prestataria (por ejemplo, la obtención de beneficios), o bien porque se calculan exclusivamente por referencia a la evolución de la actividad de la citada empresa. Si además de un interés contingente se acuerda un interés fijo irrevocable, este último se contabiliza como un ingreso financiero en función de su devengo. Los costes de transacción se imputan a la cuenta de pérdidas y ganancias de forma lineal a lo largo de la vida del préstamo participativo.</w:t>
      </w:r>
    </w:p>
    <w:p w14:paraId="1E523509" w14:textId="77777777" w:rsidR="00BB4153" w:rsidRPr="00BB4153" w:rsidRDefault="00BB4153" w:rsidP="00BB4153">
      <w:pPr>
        <w:tabs>
          <w:tab w:val="left" w:pos="3544"/>
        </w:tabs>
        <w:spacing w:before="240"/>
        <w:rPr>
          <w:rFonts w:cs="Arial"/>
          <w:lang w:val="es-ES"/>
        </w:rPr>
      </w:pPr>
      <w:r w:rsidRPr="00BB4153">
        <w:rPr>
          <w:rFonts w:cs="Arial"/>
          <w:i/>
          <w:iCs/>
          <w:lang w:val="es-ES"/>
        </w:rPr>
        <w:t xml:space="preserve">Baja de balance de activos financieros </w:t>
      </w:r>
    </w:p>
    <w:p w14:paraId="52C956D0" w14:textId="77777777" w:rsidR="00BB4153" w:rsidRPr="00BB4153" w:rsidRDefault="00BB4153" w:rsidP="00BB4153">
      <w:pPr>
        <w:tabs>
          <w:tab w:val="left" w:pos="3544"/>
        </w:tabs>
        <w:spacing w:before="240"/>
        <w:rPr>
          <w:rFonts w:cs="Arial"/>
          <w:lang w:val="es-ES"/>
        </w:rPr>
      </w:pPr>
      <w:r w:rsidRPr="00BB4153">
        <w:rPr>
          <w:rFonts w:cs="Arial"/>
          <w:lang w:val="es-ES"/>
        </w:rPr>
        <w:t xml:space="preserve">La Sociedad da de baja de balance un activo financiero cuando: </w:t>
      </w:r>
    </w:p>
    <w:p w14:paraId="11143A6A" w14:textId="4E1F160B"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Expiran los derechos contractuales sobre los flujos de efectivo del activo. En este sentido, se da de baja un activo financiero cuando ha vencido y la Sociedad ha recibido el importe correspondiente. </w:t>
      </w:r>
    </w:p>
    <w:p w14:paraId="5057E0DD" w14:textId="206ACAA1"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Se hayan cedido los derechos contractuales sobre los flujos de efectivo del activo financiero. En este caso, se da de baja el activo financiero cuando se han transferido de manera sustancial los riesgos y beneficios inherentes a su propiedad. En particular, en las operaciones de venta con pacto de recompra, factoring y titulizaciones, se da de baja el activo financiero una vez que se ha comparado la exposición de la Sociedad, antes y después de la cesión, a la variación en los importes y en el calendario de los flujos de efectivo netos del activo transferido, se deduce que se han transferido los riesgos y beneficios. </w:t>
      </w:r>
    </w:p>
    <w:p w14:paraId="12F7ED62" w14:textId="4E34147D" w:rsidR="00BB4153" w:rsidRPr="00BB4153" w:rsidRDefault="00BB4153" w:rsidP="00BB4153">
      <w:pPr>
        <w:tabs>
          <w:tab w:val="left" w:pos="3544"/>
        </w:tabs>
        <w:spacing w:before="240"/>
        <w:rPr>
          <w:rFonts w:cs="Arial"/>
          <w:lang w:val="es-ES"/>
        </w:rPr>
      </w:pPr>
      <w:r w:rsidRPr="00BB4153">
        <w:rPr>
          <w:rFonts w:cs="Arial"/>
          <w:lang w:val="es-ES"/>
        </w:rPr>
        <w:t xml:space="preserve">Tras el análisis de los riesgos y beneficios, la Sociedad registra la baja de los activos financieros conforme a las siguientes situaciones: </w:t>
      </w:r>
    </w:p>
    <w:p w14:paraId="4C5A71BD" w14:textId="77777777" w:rsidR="00BB4153" w:rsidRPr="00BB4153" w:rsidRDefault="00BB4153" w:rsidP="00BB4153">
      <w:pPr>
        <w:tabs>
          <w:tab w:val="left" w:pos="3544"/>
        </w:tabs>
        <w:spacing w:before="240"/>
        <w:rPr>
          <w:rFonts w:cs="Arial"/>
          <w:lang w:val="es-ES"/>
        </w:rPr>
      </w:pPr>
      <w:r w:rsidRPr="00BB4153">
        <w:rPr>
          <w:rFonts w:cs="Arial"/>
          <w:lang w:val="es-ES"/>
        </w:rPr>
        <w:t xml:space="preserve">a) Los riesgos y beneficios inherentes a la propiedad del activo se han trasferido de manera sustancial. El activo transferido se da de baja de balance y la Sociedad reconoce el resultado de la operación: la diferencia entre la contraprestación recibida neta de los costes de transacción atribuibles (considerando cualquier nuevo activo obtenido menos cualquier pasivo asumido) y el valor en libros del activo financiero, más cualquier importe acumulado que se haya reconocido directamente en el patrimonio neto. </w:t>
      </w:r>
    </w:p>
    <w:p w14:paraId="1B71A7AB" w14:textId="77777777" w:rsidR="00BB4153" w:rsidRPr="00BB4153" w:rsidRDefault="00BB4153" w:rsidP="00BB4153">
      <w:pPr>
        <w:tabs>
          <w:tab w:val="left" w:pos="3544"/>
        </w:tabs>
        <w:spacing w:before="240"/>
        <w:rPr>
          <w:rFonts w:cs="Arial"/>
          <w:lang w:val="es-ES"/>
        </w:rPr>
      </w:pPr>
      <w:r w:rsidRPr="00BB4153">
        <w:rPr>
          <w:rFonts w:cs="Arial"/>
          <w:lang w:val="es-ES"/>
        </w:rPr>
        <w:t xml:space="preserve">b) Los riesgos y beneficios inherentes a la propiedad del activo se han retenido, por parte de la Sociedad, de manera sustancial. El activo financiero no se da de baja y se reconoce un pasivo financiero por el mismo importe a la contraprestación recibida. </w:t>
      </w:r>
    </w:p>
    <w:p w14:paraId="11D5BA23" w14:textId="37EB8E1B" w:rsidR="00BB4153" w:rsidRPr="00BB4153" w:rsidRDefault="00BB4153" w:rsidP="00BB4153">
      <w:pPr>
        <w:tabs>
          <w:tab w:val="left" w:pos="3544"/>
        </w:tabs>
        <w:spacing w:before="240"/>
        <w:rPr>
          <w:rFonts w:cs="Arial"/>
          <w:lang w:val="es-ES"/>
        </w:rPr>
      </w:pPr>
      <w:r w:rsidRPr="00BB4153">
        <w:rPr>
          <w:rFonts w:cs="Arial"/>
          <w:lang w:val="es-ES"/>
        </w:rPr>
        <w:t>c) Los riesgos y beneficios inherentes a la propiedad del activo no se han trasferido ni retenido de manera sustancial. En este caso caben, su vez, dos posibles situaciones:</w:t>
      </w:r>
    </w:p>
    <w:p w14:paraId="5E4032CA" w14:textId="77777777" w:rsidR="00BB4153" w:rsidRDefault="00BB4153" w:rsidP="00BB4153">
      <w:pPr>
        <w:pStyle w:val="Default"/>
        <w:jc w:val="both"/>
        <w:rPr>
          <w:color w:val="auto"/>
        </w:rPr>
      </w:pPr>
    </w:p>
    <w:p w14:paraId="5FE945C6" w14:textId="10A99EBA" w:rsidR="00BB4153" w:rsidRDefault="00BB4153" w:rsidP="00767F9B">
      <w:pPr>
        <w:pStyle w:val="Default"/>
        <w:numPr>
          <w:ilvl w:val="0"/>
          <w:numId w:val="7"/>
        </w:numPr>
        <w:jc w:val="both"/>
        <w:rPr>
          <w:sz w:val="20"/>
          <w:szCs w:val="20"/>
        </w:rPr>
      </w:pPr>
      <w:r>
        <w:rPr>
          <w:sz w:val="20"/>
          <w:szCs w:val="20"/>
        </w:rPr>
        <w:t xml:space="preserve">El control se cede (el cesionario tiene la capacidad práctica de volver a transmitir el activo a un tercero): el activo se da de baja de balance. </w:t>
      </w:r>
    </w:p>
    <w:p w14:paraId="5CDBB9DD" w14:textId="77777777" w:rsidR="00BB4153" w:rsidRDefault="00BB4153" w:rsidP="00BB4153">
      <w:pPr>
        <w:pStyle w:val="Default"/>
        <w:jc w:val="both"/>
        <w:rPr>
          <w:color w:val="auto"/>
        </w:rPr>
      </w:pPr>
    </w:p>
    <w:p w14:paraId="74762A20" w14:textId="3F6BB26C" w:rsidR="00BB4153" w:rsidRDefault="00BB4153" w:rsidP="00767F9B">
      <w:pPr>
        <w:pStyle w:val="Default"/>
        <w:numPr>
          <w:ilvl w:val="0"/>
          <w:numId w:val="7"/>
        </w:numPr>
        <w:jc w:val="both"/>
        <w:rPr>
          <w:sz w:val="20"/>
          <w:szCs w:val="20"/>
        </w:rPr>
      </w:pPr>
      <w:r>
        <w:rPr>
          <w:sz w:val="20"/>
          <w:szCs w:val="20"/>
        </w:rPr>
        <w:t xml:space="preserve">El control no se cede (el cesionario no tiene la capacidad práctica de volver a transmitir el activo a un tercero): la Sociedad continúa reconociendo el activo por el importe al que esté expuesta a las variaciones de valor del activo cedido, es decir, por su implicación continuada, y ha de reconocer un pasivo asociado. </w:t>
      </w:r>
    </w:p>
    <w:p w14:paraId="376411DD" w14:textId="06A193A7" w:rsidR="00BB4153" w:rsidRPr="00C47050" w:rsidRDefault="00BB4153" w:rsidP="00BB4153">
      <w:pPr>
        <w:tabs>
          <w:tab w:val="left" w:pos="3544"/>
        </w:tabs>
        <w:spacing w:before="240"/>
        <w:rPr>
          <w:rFonts w:cs="Arial"/>
          <w:i/>
          <w:iCs/>
          <w:u w:val="single"/>
        </w:rPr>
      </w:pPr>
      <w:r w:rsidRPr="00C47050">
        <w:rPr>
          <w:rFonts w:cs="Arial"/>
          <w:i/>
          <w:iCs/>
          <w:u w:val="single"/>
        </w:rPr>
        <w:lastRenderedPageBreak/>
        <w:t>Intereses y dividendos recibidos de activos financieros</w:t>
      </w:r>
    </w:p>
    <w:p w14:paraId="150E170A" w14:textId="77777777" w:rsidR="00BB4153" w:rsidRPr="00BB4153" w:rsidRDefault="00BB4153" w:rsidP="00BB4153">
      <w:pPr>
        <w:tabs>
          <w:tab w:val="left" w:pos="3544"/>
        </w:tabs>
        <w:spacing w:before="240"/>
        <w:rPr>
          <w:rFonts w:cs="Arial"/>
        </w:rPr>
      </w:pPr>
      <w:r w:rsidRPr="00BB4153">
        <w:rPr>
          <w:rFonts w:cs="Arial"/>
        </w:rPr>
        <w:t>Los intereses y dividendos de activos financieros devengados con posterioridad al momento de la adquisición se registran como ingresos en la cuenta de pérdidas y ganancias. Los intereses se reconocen utilizando el método del tipo de interés efectivo y los dividendos cuando se declara el derecho a recibirlos.</w:t>
      </w:r>
    </w:p>
    <w:p w14:paraId="54BA7CFA" w14:textId="1298104D" w:rsidR="00BB4153" w:rsidRDefault="00BB4153" w:rsidP="00BB4153">
      <w:pPr>
        <w:tabs>
          <w:tab w:val="left" w:pos="3544"/>
        </w:tabs>
        <w:spacing w:before="240"/>
        <w:rPr>
          <w:rFonts w:cs="Arial"/>
        </w:rPr>
      </w:pPr>
      <w:r w:rsidRPr="00BB4153">
        <w:rPr>
          <w:rFonts w:cs="Arial"/>
        </w:rPr>
        <w:t>Si los dividendos distribuidos proceden inequívocamente de resultados generados con anterioridad a la fecha de adquisición porque se hayan distribuido importes superiores a los beneficios generados por la participada desde la adquisición, no se reconocerán como ingresos, y minorarán el valor contable de la inversión. El juicio sobre si se han generado beneficios por la participada se realizará atendiendo exclusivamente a los beneficios contabilizados en la cuenta de pérdidas y ganancias individual desde la fecha de adquisición, salvo que de forma indubitada el reparto con cargo a dichos beneficios deba calificarse como una recuperación de la inversión desde la perspectiva de la entidad que recibe el dividendo.</w:t>
      </w:r>
    </w:p>
    <w:p w14:paraId="39CFC47F" w14:textId="77777777" w:rsidR="00CB4F6C" w:rsidRPr="00C47050" w:rsidRDefault="00995FA4" w:rsidP="00995FA4">
      <w:pPr>
        <w:spacing w:before="240"/>
        <w:rPr>
          <w:rFonts w:cs="Arial"/>
          <w:b/>
          <w:color w:val="000000"/>
        </w:rPr>
      </w:pPr>
      <w:r w:rsidRPr="00C47050">
        <w:rPr>
          <w:rFonts w:cs="Arial"/>
          <w:b/>
          <w:color w:val="000000"/>
        </w:rPr>
        <w:t>4.6</w:t>
      </w:r>
      <w:r w:rsidRPr="00C47050">
        <w:rPr>
          <w:rFonts w:cs="Arial"/>
          <w:b/>
          <w:color w:val="000000"/>
        </w:rPr>
        <w:tab/>
      </w:r>
      <w:r w:rsidR="00BC1A2E" w:rsidRPr="00C47050">
        <w:rPr>
          <w:rFonts w:cs="Arial"/>
          <w:b/>
          <w:color w:val="000000"/>
        </w:rPr>
        <w:t xml:space="preserve">Deterioro del valor de los </w:t>
      </w:r>
      <w:r w:rsidR="00CB4F6C" w:rsidRPr="00C47050">
        <w:rPr>
          <w:rFonts w:cs="Arial"/>
          <w:b/>
          <w:color w:val="000000"/>
        </w:rPr>
        <w:t>activos financieros</w:t>
      </w:r>
    </w:p>
    <w:p w14:paraId="48040BA7" w14:textId="77777777" w:rsidR="00C47050" w:rsidRPr="00C47050" w:rsidRDefault="00C47050" w:rsidP="00C47050">
      <w:pPr>
        <w:spacing w:before="240"/>
        <w:rPr>
          <w:rFonts w:cs="Arial"/>
          <w:i/>
          <w:iCs/>
          <w:color w:val="000000"/>
        </w:rPr>
      </w:pPr>
      <w:r w:rsidRPr="00C47050">
        <w:rPr>
          <w:rFonts w:cs="Arial"/>
          <w:i/>
          <w:iCs/>
          <w:color w:val="000000"/>
        </w:rPr>
        <w:t>Instrumentos de deuda a coste amortizado o valor razonable con cambios en patrimonio neto</w:t>
      </w:r>
    </w:p>
    <w:p w14:paraId="5E3FF1B7" w14:textId="77777777" w:rsidR="00C47050" w:rsidRPr="00C47050" w:rsidRDefault="00C47050" w:rsidP="00C47050">
      <w:pPr>
        <w:spacing w:before="240"/>
        <w:rPr>
          <w:rFonts w:cs="Arial"/>
          <w:color w:val="000000"/>
        </w:rPr>
      </w:pPr>
      <w:r w:rsidRPr="00C47050">
        <w:rPr>
          <w:rFonts w:cs="Arial"/>
          <w:color w:val="000000"/>
        </w:rPr>
        <w:t>Al menos al cierre del ejercicio, la Sociedad analiza si existe evidencia objetiva de que el valor de un activo financiero, o de un grupo de activos financieros con similares características de riesgo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14:paraId="5628DE1C" w14:textId="77777777" w:rsidR="00C47050" w:rsidRPr="00C47050" w:rsidRDefault="00C47050" w:rsidP="00C47050">
      <w:pPr>
        <w:spacing w:before="240"/>
        <w:rPr>
          <w:rFonts w:cs="Arial"/>
          <w:color w:val="000000"/>
        </w:rPr>
      </w:pPr>
      <w:r w:rsidRPr="00C47050">
        <w:rPr>
          <w:rFonts w:cs="Arial"/>
          <w:color w:val="000000"/>
        </w:rPr>
        <w:t>En caso de que exista dicha evidencia, la pérdida por deterioro se calcula como la diferencia entre el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financieros a tipo de interés variable, se emplea el tipo de interés efectivo que corresponda a la fecha de cierre de las cuentas anuales de acuerdo con las condiciones contractuales. En el cálculo de las pérdidas por deterioro de un grupo de activos financieros, la Sociedad utiliza modelos basados en fórmulas o métodos estadísticos.</w:t>
      </w:r>
    </w:p>
    <w:p w14:paraId="78DDAFD6" w14:textId="77777777" w:rsidR="00C47050" w:rsidRPr="00C47050" w:rsidRDefault="00C47050" w:rsidP="00C47050">
      <w:pPr>
        <w:spacing w:before="240"/>
        <w:rPr>
          <w:rFonts w:cs="Arial"/>
          <w:color w:val="000000"/>
        </w:rPr>
      </w:pPr>
      <w:r w:rsidRPr="00C47050">
        <w:rPr>
          <w:rFonts w:cs="Arial"/>
          <w:color w:val="000000"/>
        </w:rPr>
        <w:t>Las correcciones de valor por deterioro, así como su reversión cuando el importe de dicha pérdida disminuyese por causas relacionadas con un evento posterior, se reconocen como un gasto o un ingreso, respectivamente, en la cuenta de pérdidas y ganancias. La reversión del deterioro tiene como límite el valor en libros del activo que estaría reconocido en la fecha de reversión si no se hubiese registrado el deterioro del valor.</w:t>
      </w:r>
    </w:p>
    <w:p w14:paraId="6BAF9283" w14:textId="77777777" w:rsidR="00C47050" w:rsidRPr="00C47050" w:rsidRDefault="00C47050" w:rsidP="00C47050">
      <w:pPr>
        <w:spacing w:before="240"/>
        <w:rPr>
          <w:rFonts w:cs="Arial"/>
          <w:color w:val="000000"/>
        </w:rPr>
      </w:pPr>
      <w:r w:rsidRPr="00C47050">
        <w:rPr>
          <w:rFonts w:cs="Arial"/>
          <w:color w:val="000000"/>
        </w:rPr>
        <w:t>Como sustituto del valor actual de los flujos de efectivo futuros la Sociedad utiliza el valor de mercado del instrumento, siempre que éste sea lo suficientemente fiable como para considerarlo representativo del valor que pudiera recuperar la empresa.</w:t>
      </w:r>
    </w:p>
    <w:p w14:paraId="4994897A" w14:textId="77777777" w:rsidR="00C47050" w:rsidRPr="00C47050" w:rsidRDefault="00C47050" w:rsidP="00C47050">
      <w:pPr>
        <w:spacing w:before="240"/>
        <w:rPr>
          <w:rFonts w:cs="Arial"/>
          <w:color w:val="000000"/>
        </w:rPr>
      </w:pPr>
      <w:r w:rsidRPr="00C47050">
        <w:rPr>
          <w:rFonts w:cs="Arial"/>
          <w:color w:val="000000"/>
        </w:rPr>
        <w:t>En el caso de activos a valor razonable con cambio en patrimonio neto, las pérdidas acumuladas reconocidas en el patrimonio neto por disminución del valor razonable, siempre que exista una evidencia objetiva de deterioro en el valor del activo, se reconocen en la cuenta de pérdidas y ganancias.</w:t>
      </w:r>
    </w:p>
    <w:p w14:paraId="626AD7B9" w14:textId="77777777" w:rsidR="00C47050" w:rsidRPr="00C47050" w:rsidRDefault="00C47050" w:rsidP="00C47050">
      <w:pPr>
        <w:spacing w:before="240"/>
        <w:rPr>
          <w:rFonts w:cs="Arial"/>
          <w:i/>
          <w:iCs/>
          <w:color w:val="000000"/>
        </w:rPr>
      </w:pPr>
      <w:r w:rsidRPr="00C47050">
        <w:rPr>
          <w:rFonts w:cs="Arial"/>
          <w:i/>
          <w:iCs/>
          <w:color w:val="000000"/>
        </w:rPr>
        <w:t>Instrumentos de patrimonio a valor razonable con cambios en patrimonio neto</w:t>
      </w:r>
    </w:p>
    <w:p w14:paraId="37E2BC35" w14:textId="77777777" w:rsidR="00C47050" w:rsidRPr="00C47050" w:rsidRDefault="00C47050" w:rsidP="00C47050">
      <w:pPr>
        <w:spacing w:before="240"/>
        <w:rPr>
          <w:rFonts w:cs="Arial"/>
          <w:color w:val="000000"/>
        </w:rPr>
      </w:pPr>
      <w:r w:rsidRPr="00C47050">
        <w:rPr>
          <w:rFonts w:cs="Arial"/>
          <w:color w:val="000000"/>
        </w:rPr>
        <w:t>En este tipo de inversiones, la Sociedad asume que el instrumento se ha deteriorado ante una caída de un año y medio o de un cuarenta por ciento en su cotización, sin que se haya producido la recuperación de su valor, sin perjuicio de que pudiera ser necesario reconocer una pérdida por deterioro antes de que haya transcurrido dicho plazo o descendido la cotización en el mencionado porcentaje.</w:t>
      </w:r>
    </w:p>
    <w:p w14:paraId="105B1B98" w14:textId="77777777" w:rsidR="00C47050" w:rsidRPr="00C47050" w:rsidRDefault="00C47050" w:rsidP="00C47050">
      <w:pPr>
        <w:spacing w:before="240"/>
        <w:rPr>
          <w:rFonts w:cs="Arial"/>
          <w:color w:val="000000"/>
        </w:rPr>
      </w:pPr>
      <w:r w:rsidRPr="00C47050">
        <w:rPr>
          <w:rFonts w:cs="Arial"/>
          <w:color w:val="000000"/>
        </w:rPr>
        <w:lastRenderedPageBreak/>
        <w:t>Las correcciones de valor por deterioro se reconocen como un gasto en la cuenta de pérdidas y ganancias</w:t>
      </w:r>
    </w:p>
    <w:p w14:paraId="123E3DA2" w14:textId="77777777" w:rsidR="00C47050" w:rsidRPr="00C47050" w:rsidRDefault="00C47050" w:rsidP="00C47050">
      <w:pPr>
        <w:spacing w:before="240"/>
        <w:rPr>
          <w:rFonts w:cs="Arial"/>
          <w:color w:val="000000"/>
        </w:rPr>
      </w:pPr>
      <w:r w:rsidRPr="00C47050">
        <w:rPr>
          <w:rFonts w:cs="Arial"/>
          <w:color w:val="000000"/>
        </w:rPr>
        <w:t>En el caso de que se incrementase el valor razonable, la corrección valorativa reconocida en ejercicios anteriores no revierte con abono a la cuenta de pérdidas y ganancias y se registra el incremento de valor razonable directamente contra el patrimonio neto.</w:t>
      </w:r>
    </w:p>
    <w:p w14:paraId="78CF3827" w14:textId="77777777" w:rsidR="00C47050" w:rsidRPr="00C47050" w:rsidRDefault="00C47050" w:rsidP="00C47050">
      <w:pPr>
        <w:spacing w:before="240"/>
        <w:rPr>
          <w:rFonts w:cs="Arial"/>
          <w:i/>
          <w:iCs/>
          <w:color w:val="000000"/>
        </w:rPr>
      </w:pPr>
      <w:r w:rsidRPr="00C47050">
        <w:rPr>
          <w:rFonts w:cs="Arial"/>
          <w:i/>
          <w:iCs/>
          <w:color w:val="000000"/>
        </w:rPr>
        <w:t>Activos financieros a coste</w:t>
      </w:r>
    </w:p>
    <w:p w14:paraId="40AA3B3C" w14:textId="77777777" w:rsidR="00C47050" w:rsidRPr="00C47050" w:rsidRDefault="00C47050" w:rsidP="00C47050">
      <w:pPr>
        <w:spacing w:before="240"/>
        <w:rPr>
          <w:rFonts w:cs="Arial"/>
          <w:color w:val="000000"/>
        </w:rPr>
      </w:pPr>
      <w:r w:rsidRPr="00C47050">
        <w:rPr>
          <w:rFonts w:cs="Arial"/>
          <w:color w:val="000000"/>
        </w:rPr>
        <w:t>En este caso, el importe de la corrección valorativa es la diferencia entre su valor en libros y el importe recuperable, entendido éste como el mayor importe entre su valor razonable menos los costes de venta y el valor actual de los flujos de efectivo futuros derivados de la inversión, que para el caso de instrumentos de patrimonio se calculan, bien mediante la estimación de los que se espera recibir como consecuencia del reparto de dividendos realizado por la empresa participada y de la enajenación o baja en cuentas de la inversión en la misma, bien mediante la estimación de su participación en los flujos de efectivo que se espera sean generados por la empresa participada, procedentes tanto de sus actividades ordinarias como de su enajenación o baja en cuentas. Salvo mejor evidencia del importe recuperable de las inversiones en instrumentos de patrimonio, la estimación de la pérdida por deterioro de esta clase de activos se calcula en función del patrimonio neto de la entidad participada y de las plusvalías tácitas existentes en la fecha de la valoración, netas del efecto impositivo.</w:t>
      </w:r>
    </w:p>
    <w:p w14:paraId="5DAF4B6E" w14:textId="77777777" w:rsidR="00C47050" w:rsidRPr="00C47050" w:rsidRDefault="00C47050" w:rsidP="00C47050">
      <w:pPr>
        <w:spacing w:before="240"/>
        <w:rPr>
          <w:rFonts w:cs="Arial"/>
          <w:color w:val="000000"/>
        </w:rPr>
      </w:pPr>
      <w:r w:rsidRPr="00C47050">
        <w:rPr>
          <w:rFonts w:cs="Arial"/>
          <w:color w:val="000000"/>
        </w:rPr>
        <w:t>El reconocimiento de las correcciones valorativas por deterioro de valor y, en su caso, su reversión, se registran como un gasto o un ingreso, respectivamente, en la cuenta de pérdidas y ganancias. La reversión del deterioro tiene como límite el valor en libros de la inversión que estaría reconocida en la fecha de reversión si no se hubiese registrado el deterioro del valor.</w:t>
      </w:r>
    </w:p>
    <w:p w14:paraId="5E32E33D" w14:textId="77777777" w:rsidR="0084666F" w:rsidRPr="00910879" w:rsidRDefault="0084666F" w:rsidP="00B23249">
      <w:pPr>
        <w:rPr>
          <w:highlight w:val="yellow"/>
        </w:rPr>
      </w:pPr>
    </w:p>
    <w:p w14:paraId="2BC83061" w14:textId="77777777" w:rsidR="00CB4F6C" w:rsidRPr="00171A37" w:rsidRDefault="00995FA4" w:rsidP="00995FA4">
      <w:pPr>
        <w:rPr>
          <w:rFonts w:cs="Arial"/>
          <w:b/>
          <w:color w:val="000000"/>
        </w:rPr>
      </w:pPr>
      <w:r w:rsidRPr="00171A37">
        <w:rPr>
          <w:rFonts w:cs="Arial"/>
          <w:b/>
          <w:color w:val="000000"/>
        </w:rPr>
        <w:t>4.7</w:t>
      </w:r>
      <w:r w:rsidRPr="00171A37">
        <w:rPr>
          <w:rFonts w:cs="Arial"/>
          <w:b/>
          <w:color w:val="000000"/>
        </w:rPr>
        <w:tab/>
      </w:r>
      <w:r w:rsidR="00CB4F6C" w:rsidRPr="00171A37">
        <w:rPr>
          <w:rFonts w:cs="Arial"/>
          <w:b/>
          <w:color w:val="000000"/>
        </w:rPr>
        <w:t>Pasivos financieros</w:t>
      </w:r>
    </w:p>
    <w:p w14:paraId="39F4BEEC" w14:textId="77777777" w:rsidR="007076CC" w:rsidRPr="006E644A" w:rsidRDefault="007076CC" w:rsidP="007076CC">
      <w:pPr>
        <w:widowControl w:val="0"/>
        <w:autoSpaceDE w:val="0"/>
        <w:autoSpaceDN w:val="0"/>
        <w:adjustRightInd w:val="0"/>
        <w:spacing w:before="240"/>
        <w:rPr>
          <w:rFonts w:cs="Arial"/>
          <w:i/>
          <w:color w:val="000000"/>
          <w:u w:val="single"/>
        </w:rPr>
      </w:pPr>
      <w:r w:rsidRPr="00171A37">
        <w:rPr>
          <w:rFonts w:cs="Arial"/>
          <w:i/>
          <w:color w:val="000000"/>
          <w:u w:val="single"/>
        </w:rPr>
        <w:t>Clasificación y valoración</w:t>
      </w:r>
    </w:p>
    <w:p w14:paraId="79BA8C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En el momento de reconocimiento inicial, la Sociedad clasifica todos los pasivos financieros en una de las categorías enumeradas a continuación: </w:t>
      </w:r>
    </w:p>
    <w:p w14:paraId="049A0A36"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coste amortizado </w:t>
      </w:r>
    </w:p>
    <w:p w14:paraId="2486793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valor razonable con cambios en la cuenta de pérdidas y ganancias </w:t>
      </w:r>
    </w:p>
    <w:p w14:paraId="6761EF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i/>
          <w:iCs/>
          <w:color w:val="000000"/>
          <w:lang w:val="es-ES"/>
        </w:rPr>
        <w:t xml:space="preserve">Pasivos financieros a coste amortizado </w:t>
      </w:r>
    </w:p>
    <w:p w14:paraId="331ADDE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 Sociedad clasifica todos los pasivos financieros en esta categoría excepto cuando deban valorarse a valor razonable con cambios en la cuenta de pérdidas y ganancias. </w:t>
      </w:r>
    </w:p>
    <w:p w14:paraId="3F323AA1" w14:textId="28C05112" w:rsidR="006E644A" w:rsidRPr="006E644A" w:rsidRDefault="006E644A" w:rsidP="006E644A">
      <w:pPr>
        <w:widowControl w:val="0"/>
        <w:autoSpaceDE w:val="0"/>
        <w:autoSpaceDN w:val="0"/>
        <w:adjustRightInd w:val="0"/>
        <w:spacing w:before="240"/>
        <w:rPr>
          <w:rFonts w:cs="Arial"/>
          <w:color w:val="000000"/>
        </w:rPr>
      </w:pPr>
      <w:r w:rsidRPr="006E644A">
        <w:rPr>
          <w:rFonts w:cs="Arial"/>
          <w:color w:val="000000"/>
          <w:lang w:val="es-ES"/>
        </w:rPr>
        <w:t>Con carácter general, se incluyen en esta categoría los débitos por operaciones comerciales (“proveedores”) y los débitos por operaciones no comerciales (“otros acreedores”).</w:t>
      </w:r>
    </w:p>
    <w:p w14:paraId="1CCD949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préstamos participativos que tienen las características de un préstamo ordinario o común también se incluyen en esta categoría sin perjuicio de que la operación se acuerde a un tipo de interés cero o por debajo de mercado. </w:t>
      </w:r>
    </w:p>
    <w:p w14:paraId="15CAF55F"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pasivos financieros incluidos en esta categoría se valoran inicialmente por su valor razonable, que, salvo evidencia en contrario, se considera que es el precio de la transacción, que equivale al valor razonable de la contraprestación recibida ajustado por los costes de transacción que les sean directamente atribuibles. Esto es, los costes de transacción inherentes se capitalizan. </w:t>
      </w:r>
    </w:p>
    <w:p w14:paraId="2634090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por operaciones comerciales con vencimiento no superior a un año y que no tienen un tipo de interés contractual, así como los desembolsos exigidos por terceros sobre participaciones, cuyo importe se espera pagar en el corto plazo, se valoran por su valor nominal, </w:t>
      </w:r>
      <w:r w:rsidRPr="006E644A">
        <w:rPr>
          <w:rFonts w:cs="Arial"/>
          <w:color w:val="000000"/>
          <w:lang w:val="es-ES"/>
        </w:rPr>
        <w:lastRenderedPageBreak/>
        <w:t xml:space="preserve">cuando el efecto de no actualizar los flujos de efectivo no sea significativo. </w:t>
      </w:r>
    </w:p>
    <w:p w14:paraId="354BA212"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Para la valoración posterior se utiliza el método de coste amortizado. Los intereses devengados se contabilizan en la cuenta de pérdidas y ganancias (gasto financiero), aplicando el método del tipo de interés efectivo. </w:t>
      </w:r>
    </w:p>
    <w:p w14:paraId="3195536C" w14:textId="0F33636A"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con vencimiento no superior a un año que, de acuerdo con lo dispuesto anteriormente, se valoren inicialmente por su valor nominal, continuarán valorándose por dicho importe. </w:t>
      </w:r>
    </w:p>
    <w:p w14:paraId="48AE29A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Las aportaciones recibidas como consecuencia de un contrato de cuentas en participación y similares, se valoran al coste, incrementado o disminuido por el beneficio o la pérdida, respectivamente, que deba atribuirse a los partícipes no gestores. </w:t>
      </w:r>
    </w:p>
    <w:p w14:paraId="6B987EB2" w14:textId="544858F3"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Se aplica este mismo criterio en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Los gastos financieros se reconocen en la cuenta de pérdidas y ganancias de acuerdo con el principio de devengo, y los costes de transacción se imputarán a la cuenta de pérdidas y ganancias con arreglo a un criterio financiero o, si no resultase aplicable, de forma lineal a lo largo de la vida del préstamo participativo.</w:t>
      </w:r>
    </w:p>
    <w:p w14:paraId="70BC8897" w14:textId="77777777" w:rsidR="003B133E" w:rsidRDefault="003B133E" w:rsidP="006E644A">
      <w:pPr>
        <w:pStyle w:val="Default"/>
        <w:rPr>
          <w:i/>
          <w:iCs/>
          <w:sz w:val="20"/>
          <w:szCs w:val="20"/>
        </w:rPr>
      </w:pPr>
    </w:p>
    <w:p w14:paraId="0CE0618E" w14:textId="1926634F" w:rsidR="006E644A" w:rsidRDefault="006E644A" w:rsidP="006E644A">
      <w:pPr>
        <w:pStyle w:val="Default"/>
        <w:rPr>
          <w:i/>
          <w:iCs/>
          <w:sz w:val="20"/>
          <w:szCs w:val="20"/>
        </w:rPr>
      </w:pPr>
      <w:r>
        <w:rPr>
          <w:i/>
          <w:iCs/>
          <w:sz w:val="20"/>
          <w:szCs w:val="20"/>
        </w:rPr>
        <w:t xml:space="preserve">Pasivos financieros a valor razonable con cambios en la cuenta de pérdidas y ganancias </w:t>
      </w:r>
    </w:p>
    <w:p w14:paraId="4CCC12A6" w14:textId="77777777" w:rsidR="006E644A" w:rsidRDefault="006E644A" w:rsidP="006E644A">
      <w:pPr>
        <w:pStyle w:val="Default"/>
        <w:rPr>
          <w:sz w:val="20"/>
          <w:szCs w:val="20"/>
        </w:rPr>
      </w:pPr>
    </w:p>
    <w:p w14:paraId="170B34D8" w14:textId="4BF437C8" w:rsidR="006E644A" w:rsidRDefault="006E644A" w:rsidP="006E644A">
      <w:pPr>
        <w:pStyle w:val="Default"/>
        <w:jc w:val="both"/>
        <w:rPr>
          <w:sz w:val="20"/>
          <w:szCs w:val="20"/>
        </w:rPr>
      </w:pPr>
      <w:r>
        <w:rPr>
          <w:sz w:val="20"/>
          <w:szCs w:val="20"/>
        </w:rPr>
        <w:t xml:space="preserve">En esta categoría la Sociedad incluye los pasivos financieros que cumplan alguna de las siguientes condiciones: </w:t>
      </w:r>
    </w:p>
    <w:p w14:paraId="730CC673" w14:textId="77777777" w:rsidR="006E644A" w:rsidRDefault="006E644A" w:rsidP="006E644A">
      <w:pPr>
        <w:pStyle w:val="Default"/>
        <w:jc w:val="both"/>
        <w:rPr>
          <w:sz w:val="20"/>
          <w:szCs w:val="20"/>
        </w:rPr>
      </w:pPr>
    </w:p>
    <w:p w14:paraId="23F6F50C" w14:textId="33A00406" w:rsidR="006E644A" w:rsidRDefault="006E644A" w:rsidP="00767F9B">
      <w:pPr>
        <w:pStyle w:val="Default"/>
        <w:numPr>
          <w:ilvl w:val="0"/>
          <w:numId w:val="7"/>
        </w:numPr>
        <w:jc w:val="both"/>
        <w:rPr>
          <w:sz w:val="20"/>
          <w:szCs w:val="20"/>
        </w:rPr>
      </w:pPr>
      <w:r>
        <w:rPr>
          <w:sz w:val="20"/>
          <w:szCs w:val="20"/>
        </w:rPr>
        <w:t xml:space="preserve">Son pasivos que se mantienen para negociar. Se considera que un pasivo financiero se posee para negociar cuando cumpla una de las siguientes condiciones: </w:t>
      </w:r>
    </w:p>
    <w:p w14:paraId="54239823" w14:textId="77777777" w:rsidR="006E644A" w:rsidRDefault="006E644A" w:rsidP="006E644A">
      <w:pPr>
        <w:pStyle w:val="Default"/>
        <w:jc w:val="both"/>
        <w:rPr>
          <w:sz w:val="20"/>
          <w:szCs w:val="20"/>
        </w:rPr>
      </w:pPr>
    </w:p>
    <w:p w14:paraId="74905B31" w14:textId="2345A595" w:rsidR="006E644A" w:rsidRDefault="006E644A" w:rsidP="00767F9B">
      <w:pPr>
        <w:pStyle w:val="Default"/>
        <w:numPr>
          <w:ilvl w:val="1"/>
          <w:numId w:val="7"/>
        </w:numPr>
        <w:jc w:val="both"/>
        <w:rPr>
          <w:sz w:val="20"/>
          <w:szCs w:val="20"/>
        </w:rPr>
      </w:pPr>
      <w:r>
        <w:rPr>
          <w:sz w:val="20"/>
          <w:szCs w:val="20"/>
        </w:rPr>
        <w:t xml:space="preserve">Se emite o asume principalmente con el propósito de readquirirlo en el corto plazo (por ejemplo, obligaciones y otros valores negociables emitidos cotizados que la empresa pueda comprar en el corto plazo en función de los cambios de valor). </w:t>
      </w:r>
    </w:p>
    <w:p w14:paraId="610756E4" w14:textId="77777777" w:rsidR="006E644A" w:rsidRDefault="006E644A" w:rsidP="006E644A">
      <w:pPr>
        <w:pStyle w:val="Default"/>
        <w:jc w:val="both"/>
        <w:rPr>
          <w:sz w:val="20"/>
          <w:szCs w:val="20"/>
        </w:rPr>
      </w:pPr>
    </w:p>
    <w:p w14:paraId="719D5ED6" w14:textId="58B0FDAF" w:rsidR="006E644A" w:rsidRDefault="006E644A" w:rsidP="00767F9B">
      <w:pPr>
        <w:pStyle w:val="Default"/>
        <w:numPr>
          <w:ilvl w:val="1"/>
          <w:numId w:val="7"/>
        </w:numPr>
        <w:jc w:val="both"/>
        <w:rPr>
          <w:sz w:val="20"/>
          <w:szCs w:val="20"/>
        </w:rPr>
      </w:pPr>
      <w:r>
        <w:rPr>
          <w:sz w:val="20"/>
          <w:szCs w:val="20"/>
        </w:rPr>
        <w:t xml:space="preserve">Es una obligación que un vendedor en corto tiene de entregar activos financieros que le han sido prestados (“venta en corto”). </w:t>
      </w:r>
    </w:p>
    <w:p w14:paraId="3D4C3B2B" w14:textId="77777777" w:rsidR="006E644A" w:rsidRDefault="006E644A" w:rsidP="006E644A">
      <w:pPr>
        <w:pStyle w:val="Default"/>
        <w:jc w:val="both"/>
        <w:rPr>
          <w:sz w:val="20"/>
          <w:szCs w:val="20"/>
        </w:rPr>
      </w:pPr>
    </w:p>
    <w:p w14:paraId="3086AB2D" w14:textId="32CBA864" w:rsidR="006E644A" w:rsidRDefault="006E644A" w:rsidP="00767F9B">
      <w:pPr>
        <w:pStyle w:val="Default"/>
        <w:numPr>
          <w:ilvl w:val="1"/>
          <w:numId w:val="7"/>
        </w:numPr>
        <w:jc w:val="both"/>
        <w:rPr>
          <w:sz w:val="20"/>
          <w:szCs w:val="20"/>
        </w:rPr>
      </w:pPr>
      <w:r>
        <w:rPr>
          <w:sz w:val="20"/>
          <w:szCs w:val="20"/>
        </w:rPr>
        <w:t xml:space="preserve">Forma parte en el momento de su reconocimiento inicial de una cartera de instrumentos financieros identificados y gestionados conjuntamente de la que existan evidencias de actuaciones recientes para obtener ganancias en el corto plazo. </w:t>
      </w:r>
    </w:p>
    <w:p w14:paraId="3961ACEC" w14:textId="77777777" w:rsidR="006E644A" w:rsidRDefault="006E644A" w:rsidP="006E644A">
      <w:pPr>
        <w:pStyle w:val="Default"/>
        <w:jc w:val="both"/>
        <w:rPr>
          <w:sz w:val="20"/>
          <w:szCs w:val="20"/>
        </w:rPr>
      </w:pPr>
    </w:p>
    <w:p w14:paraId="7333AFD3" w14:textId="761AFB91" w:rsidR="006E644A" w:rsidRDefault="006E644A" w:rsidP="00767F9B">
      <w:pPr>
        <w:pStyle w:val="Default"/>
        <w:numPr>
          <w:ilvl w:val="1"/>
          <w:numId w:val="7"/>
        </w:numPr>
        <w:jc w:val="both"/>
        <w:rPr>
          <w:sz w:val="20"/>
          <w:szCs w:val="20"/>
        </w:rPr>
      </w:pPr>
      <w:r>
        <w:rPr>
          <w:sz w:val="20"/>
          <w:szCs w:val="20"/>
        </w:rPr>
        <w:t xml:space="preserve">Es un instrumento financiero derivado, siempre que no sea un contrato de garantía financiera ni haya sido designado como instrumento de cobertura. </w:t>
      </w:r>
    </w:p>
    <w:p w14:paraId="20ED268B" w14:textId="77777777" w:rsidR="006E644A" w:rsidRDefault="006E644A" w:rsidP="006E644A">
      <w:pPr>
        <w:pStyle w:val="Default"/>
        <w:jc w:val="both"/>
        <w:rPr>
          <w:sz w:val="20"/>
          <w:szCs w:val="20"/>
        </w:rPr>
      </w:pPr>
    </w:p>
    <w:p w14:paraId="44EC63C2" w14:textId="1EB84D6C" w:rsidR="006E644A" w:rsidRDefault="006E644A" w:rsidP="00767F9B">
      <w:pPr>
        <w:pStyle w:val="Default"/>
        <w:numPr>
          <w:ilvl w:val="0"/>
          <w:numId w:val="7"/>
        </w:numPr>
        <w:jc w:val="both"/>
        <w:rPr>
          <w:sz w:val="20"/>
          <w:szCs w:val="20"/>
        </w:rPr>
      </w:pPr>
      <w:r>
        <w:rPr>
          <w:sz w:val="20"/>
          <w:szCs w:val="20"/>
        </w:rPr>
        <w:t xml:space="preserve">Desde el momento del reconocimiento inicial, ha sido designado irrevocablemente para contabilizarlo al valor razonable con cambios en la cuenta de pérdidas y ganancias (“opción de valor razonable”), debido a que: </w:t>
      </w:r>
    </w:p>
    <w:p w14:paraId="11E6C8CF" w14:textId="77777777" w:rsidR="006E644A" w:rsidRDefault="006E644A" w:rsidP="006E644A">
      <w:pPr>
        <w:pStyle w:val="Default"/>
        <w:jc w:val="both"/>
        <w:rPr>
          <w:sz w:val="20"/>
          <w:szCs w:val="20"/>
        </w:rPr>
      </w:pPr>
    </w:p>
    <w:p w14:paraId="531879E1" w14:textId="7072A6A7" w:rsidR="006E644A" w:rsidRDefault="006E644A" w:rsidP="00767F9B">
      <w:pPr>
        <w:pStyle w:val="Default"/>
        <w:numPr>
          <w:ilvl w:val="1"/>
          <w:numId w:val="7"/>
        </w:numPr>
        <w:jc w:val="both"/>
        <w:rPr>
          <w:sz w:val="20"/>
          <w:szCs w:val="20"/>
        </w:rPr>
      </w:pPr>
      <w:r>
        <w:rPr>
          <w:sz w:val="20"/>
          <w:szCs w:val="20"/>
        </w:rPr>
        <w:t xml:space="preserve">Se elimina o reduce de manera significativa una incoherencia o «asimetría contable» con otros instrumentos a valor razonable con cambios en pérdidas y ganancias; o </w:t>
      </w:r>
    </w:p>
    <w:p w14:paraId="6D087F4F" w14:textId="77777777" w:rsidR="006E644A" w:rsidRDefault="006E644A" w:rsidP="006E644A">
      <w:pPr>
        <w:pStyle w:val="Default"/>
        <w:jc w:val="both"/>
        <w:rPr>
          <w:sz w:val="20"/>
          <w:szCs w:val="20"/>
        </w:rPr>
      </w:pPr>
    </w:p>
    <w:p w14:paraId="7A08D9FB" w14:textId="5444EF88" w:rsidR="006E644A" w:rsidRDefault="006E644A" w:rsidP="00767F9B">
      <w:pPr>
        <w:pStyle w:val="Default"/>
        <w:numPr>
          <w:ilvl w:val="1"/>
          <w:numId w:val="7"/>
        </w:numPr>
        <w:jc w:val="both"/>
        <w:rPr>
          <w:sz w:val="20"/>
          <w:szCs w:val="20"/>
        </w:rPr>
      </w:pPr>
      <w:r>
        <w:rPr>
          <w:sz w:val="20"/>
          <w:szCs w:val="20"/>
        </w:rPr>
        <w:t xml:space="preserve">Un grupo de pasivos financieros o de activos y pasivos financieros que se gestiona y su rendimiento se evalúa sobre la base de su valor razonable de acuerdo con una estrategia de gestión del riesgo o de inversión documentada y se facilite información del grupo también sobre la base del valor razonable al personal clave de la dirección. </w:t>
      </w:r>
    </w:p>
    <w:p w14:paraId="409F5BC2" w14:textId="77777777" w:rsidR="006E644A" w:rsidRDefault="006E644A" w:rsidP="006E644A">
      <w:pPr>
        <w:pStyle w:val="Default"/>
        <w:jc w:val="both"/>
        <w:rPr>
          <w:sz w:val="20"/>
          <w:szCs w:val="20"/>
        </w:rPr>
      </w:pPr>
    </w:p>
    <w:p w14:paraId="3C8FF8C5" w14:textId="73405739" w:rsidR="006E644A" w:rsidRDefault="006E644A" w:rsidP="00767F9B">
      <w:pPr>
        <w:pStyle w:val="Default"/>
        <w:numPr>
          <w:ilvl w:val="0"/>
          <w:numId w:val="7"/>
        </w:numPr>
        <w:jc w:val="both"/>
        <w:rPr>
          <w:sz w:val="20"/>
          <w:szCs w:val="20"/>
        </w:rPr>
      </w:pPr>
      <w:r>
        <w:rPr>
          <w:sz w:val="20"/>
          <w:szCs w:val="20"/>
        </w:rPr>
        <w:lastRenderedPageBreak/>
        <w:t xml:space="preserve">Opcionalmente y de forma irrevocable, se podrán incluir en su integridad en esta categoría los pasivos financieros híbridos con derivado implícito separable. </w:t>
      </w:r>
    </w:p>
    <w:p w14:paraId="7A47687E" w14:textId="77777777" w:rsidR="006E644A" w:rsidRDefault="006E644A" w:rsidP="006E644A">
      <w:pPr>
        <w:pStyle w:val="Default"/>
        <w:jc w:val="both"/>
        <w:rPr>
          <w:sz w:val="20"/>
          <w:szCs w:val="20"/>
        </w:rPr>
      </w:pPr>
    </w:p>
    <w:p w14:paraId="20809C31" w14:textId="065F2BAF" w:rsidR="006E644A" w:rsidRDefault="006E644A" w:rsidP="00B80F40">
      <w:pPr>
        <w:pStyle w:val="Default"/>
        <w:jc w:val="both"/>
        <w:rPr>
          <w:sz w:val="20"/>
          <w:szCs w:val="20"/>
        </w:rPr>
      </w:pPr>
      <w:r>
        <w:rPr>
          <w:sz w:val="20"/>
          <w:szCs w:val="20"/>
        </w:rPr>
        <w:t xml:space="preserve">Los pasivos financieros incluidos en esta categoría se valoran inicialmente por su razonable, que, salvo evidencia en contrario, se asume que es el precio de la transacción, que equivale al valor razonable de la contraprestación recibida. Los costes de transacción que les sean directamente atribuibles se reconocen directamente en la cuenta de pérdidas y ganancias del ejercicio. </w:t>
      </w:r>
    </w:p>
    <w:p w14:paraId="0C1B835D" w14:textId="77777777" w:rsidR="006E644A" w:rsidRDefault="006E644A" w:rsidP="00B80F40">
      <w:pPr>
        <w:pStyle w:val="Default"/>
        <w:jc w:val="both"/>
        <w:rPr>
          <w:sz w:val="20"/>
          <w:szCs w:val="20"/>
        </w:rPr>
      </w:pPr>
    </w:p>
    <w:p w14:paraId="00F4C55E" w14:textId="6DCC252A" w:rsidR="006E644A" w:rsidRDefault="006E644A" w:rsidP="00B80F40">
      <w:pPr>
        <w:pStyle w:val="Default"/>
        <w:jc w:val="both"/>
        <w:rPr>
          <w:sz w:val="20"/>
          <w:szCs w:val="20"/>
        </w:rPr>
      </w:pPr>
      <w:r>
        <w:rPr>
          <w:sz w:val="20"/>
          <w:szCs w:val="20"/>
        </w:rPr>
        <w:t xml:space="preserve">Después del reconocimiento inicial la empresa valora los pasivos financieros comprendidos en esta categoría a valor razonable con cambios en la cuenta de pérdidas y ganancias. </w:t>
      </w:r>
    </w:p>
    <w:p w14:paraId="4BBAA8E7" w14:textId="52EE8E71" w:rsidR="007C6506" w:rsidRDefault="007C6506" w:rsidP="00B80F40">
      <w:pPr>
        <w:pStyle w:val="Default"/>
        <w:jc w:val="both"/>
        <w:rPr>
          <w:sz w:val="20"/>
          <w:szCs w:val="20"/>
        </w:rPr>
      </w:pPr>
    </w:p>
    <w:p w14:paraId="49445827" w14:textId="2443C856" w:rsidR="006E644A" w:rsidRDefault="006E644A" w:rsidP="00B80F40">
      <w:pPr>
        <w:pStyle w:val="Default"/>
        <w:jc w:val="both"/>
        <w:rPr>
          <w:i/>
          <w:iCs/>
          <w:sz w:val="20"/>
          <w:szCs w:val="20"/>
        </w:rPr>
      </w:pPr>
      <w:r>
        <w:rPr>
          <w:i/>
          <w:iCs/>
          <w:sz w:val="20"/>
          <w:szCs w:val="20"/>
        </w:rPr>
        <w:t xml:space="preserve">Baja de balance de pasivos financieros </w:t>
      </w:r>
    </w:p>
    <w:p w14:paraId="57694982" w14:textId="77777777" w:rsidR="006E644A" w:rsidRDefault="006E644A" w:rsidP="00B80F40">
      <w:pPr>
        <w:pStyle w:val="Default"/>
        <w:jc w:val="both"/>
        <w:rPr>
          <w:sz w:val="20"/>
          <w:szCs w:val="20"/>
        </w:rPr>
      </w:pPr>
    </w:p>
    <w:p w14:paraId="5DF6A210" w14:textId="7D35D7E4" w:rsidR="006E644A" w:rsidRDefault="006E644A" w:rsidP="00B80F40">
      <w:pPr>
        <w:pStyle w:val="Default"/>
        <w:jc w:val="both"/>
        <w:rPr>
          <w:sz w:val="20"/>
          <w:szCs w:val="20"/>
        </w:rPr>
      </w:pPr>
      <w:r>
        <w:rPr>
          <w:sz w:val="20"/>
          <w:szCs w:val="20"/>
        </w:rPr>
        <w:t xml:space="preserve">La Sociedad da de baja de balance un pasivo financiero previamente reconocido cuando se da alguna de las siguientes circunstancias: </w:t>
      </w:r>
    </w:p>
    <w:p w14:paraId="15A8339A" w14:textId="77777777" w:rsidR="006E644A" w:rsidRDefault="006E644A" w:rsidP="00B80F40">
      <w:pPr>
        <w:pStyle w:val="Default"/>
        <w:jc w:val="both"/>
        <w:rPr>
          <w:sz w:val="20"/>
          <w:szCs w:val="20"/>
        </w:rPr>
      </w:pPr>
    </w:p>
    <w:p w14:paraId="59B43992" w14:textId="14B631C5" w:rsidR="006E644A" w:rsidRDefault="006E644A" w:rsidP="00767F9B">
      <w:pPr>
        <w:pStyle w:val="Default"/>
        <w:numPr>
          <w:ilvl w:val="0"/>
          <w:numId w:val="7"/>
        </w:numPr>
        <w:jc w:val="both"/>
        <w:rPr>
          <w:sz w:val="20"/>
          <w:szCs w:val="20"/>
        </w:rPr>
      </w:pPr>
      <w:r>
        <w:rPr>
          <w:sz w:val="20"/>
          <w:szCs w:val="20"/>
        </w:rPr>
        <w:t xml:space="preserve">La obligación se haya extinguido porque se ha realizado el pago al acreedor para cancelar la deuda (a través de pagos en efectivo u otros bienes o servicios), o porque al deudor se le exime legalmente de cualquier responsabilidad sobre el pasivo. </w:t>
      </w:r>
    </w:p>
    <w:p w14:paraId="7211763F" w14:textId="77777777" w:rsidR="006E644A" w:rsidRDefault="006E644A" w:rsidP="00B80F40">
      <w:pPr>
        <w:pStyle w:val="Default"/>
        <w:jc w:val="both"/>
        <w:rPr>
          <w:sz w:val="20"/>
          <w:szCs w:val="20"/>
        </w:rPr>
      </w:pPr>
    </w:p>
    <w:p w14:paraId="22F2316B" w14:textId="4A38743C" w:rsidR="006E644A" w:rsidRDefault="006E644A" w:rsidP="00767F9B">
      <w:pPr>
        <w:pStyle w:val="Default"/>
        <w:numPr>
          <w:ilvl w:val="0"/>
          <w:numId w:val="7"/>
        </w:numPr>
        <w:jc w:val="both"/>
        <w:rPr>
          <w:sz w:val="20"/>
          <w:szCs w:val="20"/>
        </w:rPr>
      </w:pPr>
      <w:r>
        <w:rPr>
          <w:sz w:val="20"/>
          <w:szCs w:val="20"/>
        </w:rPr>
        <w:t xml:space="preserve">Se adquieran pasivos financieros propios, aunque sea con la intención de recolocarlos en el futuro. </w:t>
      </w:r>
    </w:p>
    <w:p w14:paraId="405EAA51" w14:textId="77777777" w:rsidR="006E644A" w:rsidRDefault="006E644A" w:rsidP="00B80F40">
      <w:pPr>
        <w:pStyle w:val="Default"/>
        <w:jc w:val="both"/>
        <w:rPr>
          <w:sz w:val="20"/>
          <w:szCs w:val="20"/>
        </w:rPr>
      </w:pPr>
    </w:p>
    <w:p w14:paraId="0AB8B41B" w14:textId="113DF5CA" w:rsidR="006E644A" w:rsidRDefault="006E644A" w:rsidP="00767F9B">
      <w:pPr>
        <w:pStyle w:val="Default"/>
        <w:numPr>
          <w:ilvl w:val="0"/>
          <w:numId w:val="7"/>
        </w:numPr>
        <w:jc w:val="both"/>
        <w:rPr>
          <w:sz w:val="20"/>
          <w:szCs w:val="20"/>
        </w:rPr>
      </w:pPr>
      <w:r>
        <w:rPr>
          <w:sz w:val="20"/>
          <w:szCs w:val="20"/>
        </w:rPr>
        <w:t xml:space="preserve">Se produce un intercambio de instrumentos de deuda entre un prestamista y un prestatario, siempre que tengan condiciones sustancialmente diferentes, reconociéndose el nuevo pasivo financiero que surja; de la misma forma se registra una modificación sustancial de las condiciones actuales de un pasivo financiero, como se indica para las reestructuraciones de deuda. </w:t>
      </w:r>
    </w:p>
    <w:p w14:paraId="4ABD1371" w14:textId="60CEEC59" w:rsidR="00B80F40" w:rsidRDefault="006E644A" w:rsidP="00B80F40">
      <w:pPr>
        <w:spacing w:before="240"/>
        <w:rPr>
          <w:szCs w:val="20"/>
        </w:rPr>
      </w:pPr>
      <w:r>
        <w:rPr>
          <w:szCs w:val="20"/>
        </w:rPr>
        <w:t>La contabilización de la baja de un pasivo financiero se realiza de la siguiente forma: la diferencia entre el valor en libros del pasivo financiero (o de la parte de él que se haya dado de baja) y la contraprestación pagada, incluidos los costes de transacción atribuibles, y en la que se ha de recoger asimismo cualquier activo cedido diferente del efectivo o pasivo asumido, se reconoce en la cuenta de pérdidas y ganancias del ejercicio en que tenga lugar.</w:t>
      </w:r>
    </w:p>
    <w:p w14:paraId="58A8B18D" w14:textId="235B1ECC" w:rsidR="00A44957" w:rsidRPr="00A44957" w:rsidRDefault="00A44957" w:rsidP="00A44957">
      <w:pPr>
        <w:spacing w:before="240"/>
        <w:rPr>
          <w:b/>
          <w:szCs w:val="20"/>
        </w:rPr>
      </w:pPr>
      <w:r w:rsidRPr="00A44957">
        <w:rPr>
          <w:b/>
          <w:szCs w:val="20"/>
        </w:rPr>
        <w:t>4.</w:t>
      </w:r>
      <w:r>
        <w:rPr>
          <w:b/>
          <w:szCs w:val="20"/>
        </w:rPr>
        <w:t>8</w:t>
      </w:r>
      <w:r w:rsidRPr="00A44957">
        <w:rPr>
          <w:b/>
          <w:szCs w:val="20"/>
        </w:rPr>
        <w:tab/>
      </w:r>
      <w:r>
        <w:rPr>
          <w:b/>
          <w:szCs w:val="20"/>
        </w:rPr>
        <w:t>Valor razonable</w:t>
      </w:r>
    </w:p>
    <w:p w14:paraId="7C35AB57" w14:textId="77777777" w:rsidR="00AD41F0" w:rsidRPr="00AD41F0" w:rsidRDefault="00AD41F0" w:rsidP="00AD41F0">
      <w:pPr>
        <w:spacing w:before="240"/>
        <w:rPr>
          <w:szCs w:val="20"/>
          <w:lang w:val="es-ES"/>
        </w:rPr>
      </w:pPr>
      <w:r w:rsidRPr="00AD41F0">
        <w:rPr>
          <w:szCs w:val="20"/>
          <w:lang w:val="es-ES"/>
        </w:rPr>
        <w:t xml:space="preserve">El valor razonable es el precio que se recibiría por la venta de un activo o se pagaría para transferir o cancelar un pasivo mediante una transacción ordenada entre participantes en el mercado en la fecha de valoración. El valor razonable se determinará sin practicar ninguna deducción por los costes de transacción en que pudiera incurrirse por causa de enajenación o disposición por otros medios. No tiene en ningún caso el carácter de valor razonable el que sea resultado de una transacción forzada, urgente o como consecuencia de una situación de liquidación involuntaria. </w:t>
      </w:r>
    </w:p>
    <w:p w14:paraId="31FB28A9" w14:textId="77777777" w:rsidR="00AD41F0" w:rsidRPr="00AD41F0" w:rsidRDefault="00AD41F0" w:rsidP="00AD41F0">
      <w:pPr>
        <w:spacing w:before="240"/>
        <w:rPr>
          <w:szCs w:val="20"/>
          <w:lang w:val="es-ES"/>
        </w:rPr>
      </w:pPr>
      <w:r w:rsidRPr="00AD41F0">
        <w:rPr>
          <w:szCs w:val="20"/>
          <w:lang w:val="es-ES"/>
        </w:rPr>
        <w:t xml:space="preserve">El valor razonable se estima para una determinada fecha y, puesto que las condiciones de mercado pueden variar con el tiempo, ese valor puede ser inadecuado para otra fecha. Además, al estimar el valor razonable, la empresa tiene en cuenta las condiciones del activo o pasivo que los participantes en el mercado tendrían en cuenta a la hora de fijar el precio del activo o pasivo en la fecha de valoración. </w:t>
      </w:r>
    </w:p>
    <w:p w14:paraId="0B539F35" w14:textId="77777777" w:rsidR="00AD41F0" w:rsidRPr="00AD41F0" w:rsidRDefault="00AD41F0" w:rsidP="00AD41F0">
      <w:pPr>
        <w:spacing w:before="240"/>
        <w:rPr>
          <w:szCs w:val="20"/>
          <w:lang w:val="es-ES"/>
        </w:rPr>
      </w:pPr>
      <w:r w:rsidRPr="00AD41F0">
        <w:rPr>
          <w:szCs w:val="20"/>
          <w:lang w:val="es-ES"/>
        </w:rPr>
        <w:t xml:space="preserve">Con carácter general, el valor razonable se calcula por referencia a un valor fiable de mercado. Para aquellos elementos respecto de los cuales existe un mercado activo, el valor razonable se obtiene, en su caso, mediante la aplicación de modelos y técnicas de valoración. Entre los modelos y técnicas de </w:t>
      </w:r>
    </w:p>
    <w:p w14:paraId="5B368A28" w14:textId="77777777" w:rsidR="00AD41F0" w:rsidRPr="00AD41F0" w:rsidRDefault="00AD41F0" w:rsidP="00AD41F0">
      <w:pPr>
        <w:spacing w:before="240"/>
        <w:rPr>
          <w:szCs w:val="20"/>
          <w:lang w:val="es-ES"/>
        </w:rPr>
      </w:pPr>
      <w:r w:rsidRPr="00AD41F0">
        <w:rPr>
          <w:szCs w:val="20"/>
          <w:lang w:val="es-ES"/>
        </w:rPr>
        <w:t xml:space="preserve">valoración se incluye el empleo de referencias a transacciones recientes en condiciones de independencia mutua entre partes interesadas y debidamente informadas, si estuviesen disponibles, así como referencias al valor razonable de otros activos que sean sustancialmente iguales, métodos </w:t>
      </w:r>
      <w:r w:rsidRPr="00AD41F0">
        <w:rPr>
          <w:szCs w:val="20"/>
          <w:lang w:val="es-ES"/>
        </w:rPr>
        <w:lastRenderedPageBreak/>
        <w:t xml:space="preserve">de descuento de flujos de efectivo futuros estimados y modelos generalmente utilizados para valorar opciones. </w:t>
      </w:r>
    </w:p>
    <w:p w14:paraId="565F1232" w14:textId="77777777" w:rsidR="00AD41F0" w:rsidRPr="00AD41F0" w:rsidRDefault="00AD41F0" w:rsidP="00AD41F0">
      <w:pPr>
        <w:spacing w:before="240"/>
        <w:rPr>
          <w:szCs w:val="20"/>
          <w:lang w:val="es-ES"/>
        </w:rPr>
      </w:pPr>
      <w:r w:rsidRPr="00AD41F0">
        <w:rPr>
          <w:szCs w:val="20"/>
          <w:lang w:val="es-ES"/>
        </w:rPr>
        <w:t xml:space="preserve">En cualquier caso, las técnicas de valoración empleadas son consistentes con las metodologías aceptadas y utilizadas por el mercado para la fijación de precios, utilizándose, si existe, la que haya demostrado obtener unas estimaciones más realistas de los precios. Asimismo, tienen en cuenta el uso de datos observables de mercado y otros factores que sus participantes considerarían al fijar el precio, limitando en todo lo posible el empleo de consideraciones subjetivas y de datos no observables o contrastables. </w:t>
      </w:r>
    </w:p>
    <w:p w14:paraId="1849F710" w14:textId="77777777" w:rsidR="00AD41F0" w:rsidRPr="00AD41F0" w:rsidRDefault="00AD41F0" w:rsidP="00AD41F0">
      <w:pPr>
        <w:spacing w:before="240"/>
        <w:rPr>
          <w:szCs w:val="20"/>
          <w:lang w:val="es-ES"/>
        </w:rPr>
      </w:pPr>
      <w:r w:rsidRPr="00AD41F0">
        <w:rPr>
          <w:szCs w:val="20"/>
          <w:lang w:val="es-ES"/>
        </w:rPr>
        <w:t xml:space="preserve">La Sociedad evalúa la efectividad de las técnicas de valoración que utiliza de manera periódica, empleando como referencia los precios observables de transacciones recientes en el mismo activo que se valore o utilizando los precios basados en datos o índices observables de mercado que estén disponibles y resulten aplicables. </w:t>
      </w:r>
    </w:p>
    <w:p w14:paraId="6897CDB1" w14:textId="77777777" w:rsidR="00AD41F0" w:rsidRPr="00AD41F0" w:rsidRDefault="00AD41F0" w:rsidP="00AD41F0">
      <w:pPr>
        <w:spacing w:before="240"/>
        <w:rPr>
          <w:szCs w:val="20"/>
          <w:lang w:val="es-ES"/>
        </w:rPr>
      </w:pPr>
      <w:r w:rsidRPr="00AD41F0">
        <w:rPr>
          <w:szCs w:val="20"/>
          <w:lang w:val="es-ES"/>
        </w:rPr>
        <w:t xml:space="preserve">De esta forma, se deduce una jerarquía en las variables utilizadas en la determinación del valor razonable y se establece una jerarquía de valor razonable que permite clasificar las estimaciones en tres niveles: </w:t>
      </w:r>
    </w:p>
    <w:p w14:paraId="22BAF7F0" w14:textId="77777777" w:rsidR="00AD41F0" w:rsidRPr="00AD41F0" w:rsidRDefault="00AD41F0" w:rsidP="00A44957">
      <w:pPr>
        <w:spacing w:before="240"/>
        <w:ind w:left="720"/>
        <w:rPr>
          <w:szCs w:val="20"/>
          <w:lang w:val="es-ES"/>
        </w:rPr>
      </w:pPr>
      <w:r w:rsidRPr="00AD41F0">
        <w:rPr>
          <w:szCs w:val="20"/>
          <w:lang w:val="es-ES"/>
        </w:rPr>
        <w:t xml:space="preserve">- Nivel 1: estimaciones que utilizan precios cotizados sin ajustar en mercados activos para activos o pasivos idénticos, a los que la empresa pueda acceder en la fecha de valoración. </w:t>
      </w:r>
    </w:p>
    <w:p w14:paraId="4DC09F34" w14:textId="77777777" w:rsidR="00AD41F0" w:rsidRPr="00AD41F0" w:rsidRDefault="00AD41F0" w:rsidP="00A44957">
      <w:pPr>
        <w:spacing w:before="240"/>
        <w:ind w:left="720"/>
        <w:rPr>
          <w:szCs w:val="20"/>
          <w:lang w:val="es-ES"/>
        </w:rPr>
      </w:pPr>
      <w:r w:rsidRPr="00AD41F0">
        <w:rPr>
          <w:szCs w:val="20"/>
          <w:lang w:val="es-ES"/>
        </w:rPr>
        <w:t xml:space="preserve">- Nivel 2: estimaciones que utilizan precios cotizados en mercados activos para instrumentos similares u otras metodologías de valoración en las que todas las variables significativas están basadas en datos de mercado observables directa o indirectamente. </w:t>
      </w:r>
    </w:p>
    <w:p w14:paraId="62F6D5BE" w14:textId="77777777" w:rsidR="00AD41F0" w:rsidRPr="00AD41F0" w:rsidRDefault="00AD41F0" w:rsidP="00A44957">
      <w:pPr>
        <w:spacing w:before="240"/>
        <w:ind w:left="720"/>
        <w:rPr>
          <w:szCs w:val="20"/>
          <w:lang w:val="es-ES"/>
        </w:rPr>
      </w:pPr>
      <w:r w:rsidRPr="00AD41F0">
        <w:rPr>
          <w:szCs w:val="20"/>
          <w:lang w:val="es-ES"/>
        </w:rPr>
        <w:t xml:space="preserve">- Nivel 3: estimaciones en las que alguna variable significativa no está basada en datos de mercado observables. </w:t>
      </w:r>
    </w:p>
    <w:p w14:paraId="06F3A5EE" w14:textId="7A89BBFB" w:rsidR="00AD41F0" w:rsidRDefault="00AD41F0" w:rsidP="00AD41F0">
      <w:pPr>
        <w:spacing w:before="240"/>
        <w:rPr>
          <w:szCs w:val="20"/>
        </w:rPr>
      </w:pPr>
      <w:r w:rsidRPr="00AD41F0">
        <w:rPr>
          <w:szCs w:val="20"/>
          <w:lang w:val="es-ES"/>
        </w:rPr>
        <w:t>Una estimación del valor razonable se clasifica en el mismo nivel de jerarquía de valor razonable que la variable de menor nivel que sea significativa para el resultado de la valoración. A estos efectos, una variable significativa es aquella que tiene una influencia decisiva sobre el resultado de la estimación. En la evaluación de la importancia de una variable concreta para la estimación se tienen en cuenta las condiciones específicas del activo o pasivo que se valora.</w:t>
      </w:r>
    </w:p>
    <w:p w14:paraId="1883BAEF" w14:textId="3D85309F" w:rsidR="00CB4F6C" w:rsidRPr="00304FE4" w:rsidRDefault="00995FA4" w:rsidP="006E644A">
      <w:pPr>
        <w:spacing w:before="240"/>
        <w:rPr>
          <w:rFonts w:cs="Arial"/>
          <w:b/>
          <w:color w:val="000000"/>
        </w:rPr>
      </w:pPr>
      <w:bookmarkStart w:id="15" w:name="_Hlk98402557"/>
      <w:r w:rsidRPr="00304FE4">
        <w:rPr>
          <w:rFonts w:cs="Arial"/>
          <w:b/>
          <w:color w:val="000000"/>
        </w:rPr>
        <w:t>4.</w:t>
      </w:r>
      <w:r w:rsidR="00A44957">
        <w:rPr>
          <w:rFonts w:cs="Arial"/>
          <w:b/>
          <w:color w:val="000000"/>
        </w:rPr>
        <w:t>9</w:t>
      </w:r>
      <w:r w:rsidRPr="00304FE4">
        <w:rPr>
          <w:rFonts w:cs="Arial"/>
          <w:b/>
          <w:color w:val="000000"/>
        </w:rPr>
        <w:tab/>
      </w:r>
      <w:r w:rsidR="00CB4F6C" w:rsidRPr="0007249A">
        <w:rPr>
          <w:rFonts w:cs="Arial"/>
          <w:b/>
          <w:color w:val="000000"/>
        </w:rPr>
        <w:t>Existencias</w:t>
      </w:r>
    </w:p>
    <w:bookmarkEnd w:id="15"/>
    <w:p w14:paraId="10A72AFC" w14:textId="77777777" w:rsidR="003275FD" w:rsidRPr="00304FE4" w:rsidRDefault="00CB4F6C" w:rsidP="00C34824">
      <w:pPr>
        <w:spacing w:before="240"/>
        <w:rPr>
          <w:rFonts w:cs="Arial"/>
        </w:rPr>
      </w:pPr>
      <w:r w:rsidRPr="00304FE4">
        <w:rPr>
          <w:rFonts w:cs="Arial"/>
        </w:rPr>
        <w:t>La</w:t>
      </w:r>
      <w:r w:rsidR="00DF5C47" w:rsidRPr="00304FE4">
        <w:rPr>
          <w:rFonts w:cs="Arial"/>
        </w:rPr>
        <w:t xml:space="preserve">s existencias se valoran </w:t>
      </w:r>
      <w:r w:rsidRPr="00304FE4">
        <w:rPr>
          <w:rFonts w:cs="Arial"/>
        </w:rPr>
        <w:t xml:space="preserve">a su precio de adquisición o coste de producción. </w:t>
      </w:r>
      <w:r w:rsidR="004A6826" w:rsidRPr="00304FE4">
        <w:rPr>
          <w:rFonts w:cs="Arial"/>
        </w:rPr>
        <w:t>El precio de adquisición incluye el importe facturado por el vendedor</w:t>
      </w:r>
      <w:r w:rsidR="002F77E7" w:rsidRPr="00304FE4">
        <w:rPr>
          <w:rFonts w:cs="Arial"/>
        </w:rPr>
        <w:t>,</w:t>
      </w:r>
      <w:r w:rsidR="004A6826" w:rsidRPr="00304FE4">
        <w:rPr>
          <w:rFonts w:cs="Arial"/>
        </w:rPr>
        <w:t xml:space="preserve"> después de deducir cualquier descuento, rebaja en el precio u otras partidas similares, y todos los gastos adicionales </w:t>
      </w:r>
      <w:r w:rsidR="00C75AE2" w:rsidRPr="00304FE4">
        <w:rPr>
          <w:rFonts w:cs="Arial"/>
        </w:rPr>
        <w:t>producidos</w:t>
      </w:r>
      <w:r w:rsidR="00022EAA" w:rsidRPr="00304FE4">
        <w:rPr>
          <w:rFonts w:cs="Arial"/>
        </w:rPr>
        <w:t xml:space="preserve"> hasta que los bienes se halla</w:t>
      </w:r>
      <w:r w:rsidR="004A6826" w:rsidRPr="00304FE4">
        <w:rPr>
          <w:rFonts w:cs="Arial"/>
        </w:rPr>
        <w:t xml:space="preserve">n ubicados para su venta, tales como transportes, aranceles de aduanas, seguros y otros directamente atribuibles a la adquisición de las existencias. </w:t>
      </w:r>
      <w:r w:rsidR="003275FD" w:rsidRPr="00304FE4">
        <w:rPr>
          <w:rFonts w:cs="Arial"/>
        </w:rPr>
        <w:t>El coste de producción se determina añadiendo al precio de adquisición de las materias primas y otras materias consumibles, los costes directamente imputables al producto. También se incluye la part</w:t>
      </w:r>
      <w:r w:rsidR="00A55073" w:rsidRPr="00304FE4">
        <w:rPr>
          <w:rFonts w:cs="Arial"/>
        </w:rPr>
        <w:t>e que razonablemente corresponde</w:t>
      </w:r>
      <w:r w:rsidR="003275FD" w:rsidRPr="00304FE4">
        <w:rPr>
          <w:rFonts w:cs="Arial"/>
        </w:rPr>
        <w:t xml:space="preserve"> de los costes indirectamente imputables a los productos, en la medida en que tales costes corresponden al periodo de </w:t>
      </w:r>
      <w:r w:rsidR="00A55073" w:rsidRPr="00304FE4">
        <w:rPr>
          <w:rFonts w:cs="Arial"/>
        </w:rPr>
        <w:t>fabricación</w:t>
      </w:r>
      <w:r w:rsidR="003275FD" w:rsidRPr="00304FE4">
        <w:rPr>
          <w:rFonts w:cs="Arial"/>
        </w:rPr>
        <w:t>, elaboración o construcción, en los que se haya incurrido al ubicarlos para su venta</w:t>
      </w:r>
      <w:r w:rsidR="00A55073" w:rsidRPr="00304FE4">
        <w:rPr>
          <w:rFonts w:cs="Arial"/>
        </w:rPr>
        <w:t xml:space="preserve"> y se bas</w:t>
      </w:r>
      <w:r w:rsidR="00556D96" w:rsidRPr="00304FE4">
        <w:rPr>
          <w:rFonts w:cs="Arial"/>
        </w:rPr>
        <w:t>a</w:t>
      </w:r>
      <w:r w:rsidR="00A55073" w:rsidRPr="00304FE4">
        <w:rPr>
          <w:rFonts w:cs="Arial"/>
        </w:rPr>
        <w:t>n</w:t>
      </w:r>
      <w:r w:rsidR="003275FD" w:rsidRPr="00304FE4">
        <w:rPr>
          <w:rFonts w:cs="Arial"/>
        </w:rPr>
        <w:t xml:space="preserve"> en el nivel de utilización de la capacidad normal de trabajo de los medios de producción.</w:t>
      </w:r>
    </w:p>
    <w:p w14:paraId="7828B5F3" w14:textId="1FE63D12" w:rsidR="00C44687" w:rsidRDefault="00C44687" w:rsidP="00C34824">
      <w:pPr>
        <w:widowControl w:val="0"/>
        <w:autoSpaceDE w:val="0"/>
        <w:autoSpaceDN w:val="0"/>
        <w:adjustRightInd w:val="0"/>
        <w:spacing w:before="240"/>
        <w:rPr>
          <w:rFonts w:cs="Arial"/>
        </w:rPr>
      </w:pPr>
      <w:r w:rsidRPr="00304FE4">
        <w:rPr>
          <w:rFonts w:cs="Arial"/>
        </w:rPr>
        <w:t>Dado que las</w:t>
      </w:r>
      <w:r w:rsidR="00CB4F6C" w:rsidRPr="00304FE4">
        <w:rPr>
          <w:rFonts w:cs="Arial"/>
        </w:rPr>
        <w:t xml:space="preserve"> existencias </w:t>
      </w:r>
      <w:r w:rsidR="00A55073" w:rsidRPr="00304FE4">
        <w:rPr>
          <w:rFonts w:cs="Arial"/>
        </w:rPr>
        <w:t xml:space="preserve">de la Sociedad no </w:t>
      </w:r>
      <w:r w:rsidR="00CB4F6C" w:rsidRPr="00304FE4">
        <w:rPr>
          <w:rFonts w:cs="Arial"/>
        </w:rPr>
        <w:t>necesit</w:t>
      </w:r>
      <w:r w:rsidR="00A81290" w:rsidRPr="00304FE4">
        <w:rPr>
          <w:rFonts w:cs="Arial"/>
        </w:rPr>
        <w:t>a</w:t>
      </w:r>
      <w:r w:rsidR="00CB4F6C" w:rsidRPr="00304FE4">
        <w:rPr>
          <w:rFonts w:cs="Arial"/>
        </w:rPr>
        <w:t xml:space="preserve">n un periodo de tiempo superior a un año para estar en condiciones de ser vendidas, </w:t>
      </w:r>
      <w:r w:rsidRPr="00304FE4">
        <w:rPr>
          <w:rFonts w:cs="Arial"/>
        </w:rPr>
        <w:t xml:space="preserve">no </w:t>
      </w:r>
      <w:r w:rsidR="00CB4F6C" w:rsidRPr="00304FE4">
        <w:rPr>
          <w:rFonts w:cs="Arial"/>
        </w:rPr>
        <w:t xml:space="preserve">se incluyen </w:t>
      </w:r>
      <w:r w:rsidR="003372B9" w:rsidRPr="00304FE4">
        <w:rPr>
          <w:rFonts w:cs="Arial"/>
        </w:rPr>
        <w:t xml:space="preserve">gastos financieros </w:t>
      </w:r>
      <w:r w:rsidR="00CB4F6C" w:rsidRPr="00304FE4">
        <w:rPr>
          <w:rFonts w:cs="Arial"/>
        </w:rPr>
        <w:t>en el precio de adquisición o coste de producción</w:t>
      </w:r>
      <w:r w:rsidRPr="00304FE4">
        <w:rPr>
          <w:rFonts w:cs="Arial"/>
        </w:rPr>
        <w:t>.</w:t>
      </w:r>
    </w:p>
    <w:p w14:paraId="4CD91227" w14:textId="77777777" w:rsidR="00655D32" w:rsidRPr="00304FE4" w:rsidRDefault="004A6826" w:rsidP="0008091A">
      <w:pPr>
        <w:widowControl w:val="0"/>
        <w:autoSpaceDE w:val="0"/>
        <w:autoSpaceDN w:val="0"/>
        <w:adjustRightInd w:val="0"/>
        <w:spacing w:before="240"/>
        <w:rPr>
          <w:rFonts w:cs="Arial"/>
        </w:rPr>
      </w:pPr>
      <w:r w:rsidRPr="00304FE4">
        <w:rPr>
          <w:rFonts w:cs="Arial"/>
        </w:rPr>
        <w:t xml:space="preserve">Cuando el valor neto realizable de las existencias </w:t>
      </w:r>
      <w:r w:rsidR="001F524B" w:rsidRPr="00304FE4">
        <w:rPr>
          <w:rFonts w:cs="Arial"/>
        </w:rPr>
        <w:t>es</w:t>
      </w:r>
      <w:r w:rsidRPr="00304FE4">
        <w:rPr>
          <w:rFonts w:cs="Arial"/>
        </w:rPr>
        <w:t xml:space="preserve"> inferior a su precio de adquisición o a su coste de producción, se efectúan las oportunas correcciones valorativas</w:t>
      </w:r>
      <w:r w:rsidR="002F77E7" w:rsidRPr="00304FE4">
        <w:rPr>
          <w:rFonts w:cs="Arial"/>
        </w:rPr>
        <w:t>,</w:t>
      </w:r>
      <w:r w:rsidRPr="00304FE4">
        <w:rPr>
          <w:rFonts w:cs="Arial"/>
        </w:rPr>
        <w:t xml:space="preserve"> reconociéndolas como un gasto en la cuenta de pérdidas y ganancias. </w:t>
      </w:r>
      <w:r w:rsidR="00A55073" w:rsidRPr="00304FE4">
        <w:rPr>
          <w:rFonts w:cs="Arial"/>
        </w:rPr>
        <w:t>Para las materias primas y otras materias consumibles en el proceso de producción, no se realiza corrección valorativa si se espera que los productos ter</w:t>
      </w:r>
      <w:r w:rsidR="00556D96" w:rsidRPr="00304FE4">
        <w:rPr>
          <w:rFonts w:cs="Arial"/>
        </w:rPr>
        <w:t xml:space="preserve">minados a los que </w:t>
      </w:r>
      <w:r w:rsidR="00556D96" w:rsidRPr="00304FE4">
        <w:rPr>
          <w:rFonts w:cs="Arial"/>
        </w:rPr>
        <w:lastRenderedPageBreak/>
        <w:t>se incorporará</w:t>
      </w:r>
      <w:r w:rsidR="00A55073" w:rsidRPr="00304FE4">
        <w:rPr>
          <w:rFonts w:cs="Arial"/>
        </w:rPr>
        <w:t>n sean vendidos por encima del coste.</w:t>
      </w:r>
    </w:p>
    <w:p w14:paraId="3E9A4B25" w14:textId="50D6E2B9" w:rsidR="00A55073" w:rsidRPr="00304FE4" w:rsidRDefault="00B9326B" w:rsidP="00B9326B">
      <w:pPr>
        <w:spacing w:before="240"/>
        <w:rPr>
          <w:rFonts w:cs="Arial"/>
          <w:b/>
          <w:color w:val="000000"/>
        </w:rPr>
      </w:pPr>
      <w:r w:rsidRPr="00304FE4">
        <w:rPr>
          <w:rFonts w:cs="Arial"/>
          <w:b/>
          <w:color w:val="000000"/>
        </w:rPr>
        <w:t>4.</w:t>
      </w:r>
      <w:r w:rsidR="00A44957">
        <w:rPr>
          <w:rFonts w:cs="Arial"/>
          <w:b/>
          <w:color w:val="000000"/>
        </w:rPr>
        <w:t>10</w:t>
      </w:r>
      <w:r w:rsidRPr="00304FE4">
        <w:rPr>
          <w:rFonts w:cs="Arial"/>
          <w:b/>
          <w:color w:val="000000"/>
        </w:rPr>
        <w:tab/>
      </w:r>
      <w:r w:rsidR="00A55073" w:rsidRPr="00304FE4">
        <w:rPr>
          <w:rFonts w:cs="Arial"/>
          <w:b/>
          <w:color w:val="000000"/>
        </w:rPr>
        <w:t>Efectivo y otros activos líquidos equivalentes</w:t>
      </w:r>
    </w:p>
    <w:p w14:paraId="40419046" w14:textId="77777777" w:rsidR="007076CC" w:rsidRPr="002773AF"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 xml:space="preserve">Este epígrafe incluye el efectivo en caja, las </w:t>
      </w:r>
      <w:r w:rsidR="008E7B3E" w:rsidRPr="002773AF">
        <w:rPr>
          <w:rFonts w:cs="Arial"/>
          <w:color w:val="000000"/>
          <w:szCs w:val="20"/>
        </w:rPr>
        <w:t xml:space="preserve">cuentas corrientes bancarias y los depósitos y </w:t>
      </w:r>
      <w:r w:rsidRPr="002773AF">
        <w:rPr>
          <w:rFonts w:cs="Arial"/>
          <w:color w:val="000000"/>
          <w:szCs w:val="20"/>
        </w:rPr>
        <w:t>adquisiciones temporales de activos que</w:t>
      </w:r>
      <w:r w:rsidR="007076CC" w:rsidRPr="002773AF">
        <w:rPr>
          <w:rFonts w:cs="Arial"/>
          <w:color w:val="000000"/>
          <w:szCs w:val="20"/>
        </w:rPr>
        <w:t xml:space="preserve"> cumplen con todos los siguientes requisitos:</w:t>
      </w:r>
    </w:p>
    <w:p w14:paraId="2E48B25C"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color w:val="000000"/>
          <w:sz w:val="20"/>
          <w:szCs w:val="20"/>
        </w:rPr>
      </w:pPr>
      <w:r w:rsidRPr="002773AF">
        <w:rPr>
          <w:rFonts w:ascii="Arial" w:hAnsi="Arial" w:cs="Arial"/>
          <w:sz w:val="20"/>
          <w:szCs w:val="20"/>
        </w:rPr>
        <w:t>S</w:t>
      </w:r>
      <w:r w:rsidR="001F524B" w:rsidRPr="002773AF">
        <w:rPr>
          <w:rFonts w:ascii="Arial" w:hAnsi="Arial" w:cs="Arial"/>
          <w:color w:val="000000"/>
          <w:sz w:val="20"/>
          <w:szCs w:val="20"/>
        </w:rPr>
        <w:t>on convertibles en efectivo</w:t>
      </w:r>
      <w:r w:rsidRPr="002773AF">
        <w:rPr>
          <w:rFonts w:ascii="Arial" w:hAnsi="Arial" w:cs="Arial"/>
          <w:color w:val="000000"/>
          <w:sz w:val="20"/>
          <w:szCs w:val="20"/>
        </w:rPr>
        <w:t xml:space="preserve">. </w:t>
      </w:r>
    </w:p>
    <w:p w14:paraId="35EF4099"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En el momento de su adquisición su vencimiento no era superior a tres meses.</w:t>
      </w:r>
    </w:p>
    <w:p w14:paraId="368E0ADE" w14:textId="77777777" w:rsidR="007076CC"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No están sujetos a un riego significativo de cambio de valor.</w:t>
      </w:r>
    </w:p>
    <w:p w14:paraId="0243C5F6" w14:textId="77777777" w:rsidR="00A55073"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Forman parte de la política de gestión normal de tesorería de la Sociedad.</w:t>
      </w:r>
    </w:p>
    <w:p w14:paraId="7D0E23A3" w14:textId="77777777" w:rsidR="00A55073"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A efectos del estado de flujos de efectivo se incluyen como menos efectivo y otros activos líquidos equivalentes los descubiertos ocasionales que forman parte de la gestión de efectivo de la Sociedad.</w:t>
      </w:r>
    </w:p>
    <w:p w14:paraId="227A2A0B" w14:textId="008B3629" w:rsidR="00F67988" w:rsidRDefault="00995FA4" w:rsidP="00C34824">
      <w:pPr>
        <w:spacing w:before="240"/>
        <w:rPr>
          <w:rFonts w:cs="Arial"/>
          <w:b/>
          <w:color w:val="000000"/>
        </w:rPr>
      </w:pPr>
      <w:r w:rsidRPr="00304FE4">
        <w:rPr>
          <w:rFonts w:cs="Arial"/>
          <w:b/>
          <w:color w:val="000000"/>
        </w:rPr>
        <w:t>4.</w:t>
      </w:r>
      <w:r w:rsidRPr="00304FE4">
        <w:rPr>
          <w:rFonts w:cs="Arial"/>
          <w:b/>
        </w:rPr>
        <w:t>1</w:t>
      </w:r>
      <w:r w:rsidR="00A44957">
        <w:rPr>
          <w:rFonts w:cs="Arial"/>
          <w:b/>
        </w:rPr>
        <w:t>1</w:t>
      </w:r>
      <w:r w:rsidRPr="00304FE4">
        <w:rPr>
          <w:rFonts w:cs="Arial"/>
        </w:rPr>
        <w:tab/>
      </w:r>
      <w:r w:rsidR="00EF7722" w:rsidRPr="00304FE4">
        <w:rPr>
          <w:rFonts w:cs="Arial"/>
          <w:b/>
          <w:color w:val="000000"/>
        </w:rPr>
        <w:t>Subvenciones</w:t>
      </w:r>
    </w:p>
    <w:p w14:paraId="43AB9BEC" w14:textId="77777777" w:rsidR="00EF7722" w:rsidRPr="00304FE4" w:rsidRDefault="00EF7722" w:rsidP="00C34824">
      <w:pPr>
        <w:spacing w:before="240"/>
        <w:rPr>
          <w:rFonts w:cs="Arial"/>
        </w:rPr>
      </w:pPr>
      <w:r w:rsidRPr="00304FE4">
        <w:rPr>
          <w:rFonts w:cs="Arial"/>
        </w:rPr>
        <w:t>Las subvenciones se califican como no reintegrables cuando se han cumplido las condiciones establecidas para su concesión</w:t>
      </w:r>
      <w:r w:rsidR="002F77E7" w:rsidRPr="00304FE4">
        <w:rPr>
          <w:rFonts w:cs="Arial"/>
        </w:rPr>
        <w:t>, registrándose</w:t>
      </w:r>
      <w:r w:rsidRPr="00304FE4">
        <w:rPr>
          <w:rFonts w:cs="Arial"/>
        </w:rPr>
        <w:t xml:space="preserve"> </w:t>
      </w:r>
      <w:r w:rsidR="003372B9" w:rsidRPr="00304FE4">
        <w:rPr>
          <w:rFonts w:cs="Arial"/>
        </w:rPr>
        <w:t xml:space="preserve">en ese momento </w:t>
      </w:r>
      <w:r w:rsidRPr="00304FE4">
        <w:rPr>
          <w:rFonts w:cs="Arial"/>
        </w:rPr>
        <w:t xml:space="preserve">directamente </w:t>
      </w:r>
      <w:r w:rsidR="002F77E7" w:rsidRPr="00304FE4">
        <w:rPr>
          <w:rFonts w:cs="Arial"/>
        </w:rPr>
        <w:t>en el</w:t>
      </w:r>
      <w:r w:rsidRPr="00304FE4">
        <w:rPr>
          <w:rFonts w:cs="Arial"/>
        </w:rPr>
        <w:t xml:space="preserve"> patrimonio neto, </w:t>
      </w:r>
      <w:r w:rsidR="003372B9" w:rsidRPr="00304FE4">
        <w:rPr>
          <w:rFonts w:cs="Arial"/>
        </w:rPr>
        <w:t>una vez deducido</w:t>
      </w:r>
      <w:r w:rsidRPr="00304FE4">
        <w:rPr>
          <w:rFonts w:cs="Arial"/>
        </w:rPr>
        <w:t xml:space="preserve"> el efecto impositivo </w:t>
      </w:r>
      <w:r w:rsidR="003372B9" w:rsidRPr="00304FE4">
        <w:rPr>
          <w:rFonts w:cs="Arial"/>
        </w:rPr>
        <w:t>correspondiente</w:t>
      </w:r>
      <w:r w:rsidRPr="00304FE4">
        <w:rPr>
          <w:rFonts w:cs="Arial"/>
        </w:rPr>
        <w:t>.</w:t>
      </w:r>
    </w:p>
    <w:p w14:paraId="298981DB" w14:textId="77777777" w:rsidR="00EF7722" w:rsidRPr="00304FE4" w:rsidRDefault="00EF7722" w:rsidP="00C34824">
      <w:pPr>
        <w:widowControl w:val="0"/>
        <w:autoSpaceDE w:val="0"/>
        <w:autoSpaceDN w:val="0"/>
        <w:adjustRightInd w:val="0"/>
        <w:spacing w:before="240"/>
        <w:rPr>
          <w:rFonts w:cs="Arial"/>
          <w:color w:val="000000"/>
        </w:rPr>
      </w:pPr>
      <w:r w:rsidRPr="00304FE4">
        <w:rPr>
          <w:rFonts w:cs="Arial"/>
          <w:color w:val="000000"/>
        </w:rPr>
        <w:t>Las subvenciones reintegrables se registran como pasivos de la Sociedad hasta que adquieren la condición de no reintegrables</w:t>
      </w:r>
      <w:r w:rsidR="002F77E7" w:rsidRPr="00304FE4">
        <w:rPr>
          <w:rFonts w:cs="Arial"/>
          <w:color w:val="000000"/>
        </w:rPr>
        <w:t>, no registrándose ningún ingreso hasta dicho momento</w:t>
      </w:r>
      <w:r w:rsidRPr="00304FE4">
        <w:rPr>
          <w:rFonts w:cs="Arial"/>
          <w:color w:val="000000"/>
        </w:rPr>
        <w:t xml:space="preserve">. </w:t>
      </w:r>
    </w:p>
    <w:p w14:paraId="1B476F39" w14:textId="77777777" w:rsidR="00CE371A" w:rsidRPr="00304FE4" w:rsidRDefault="00CE371A" w:rsidP="00101668">
      <w:pPr>
        <w:autoSpaceDE w:val="0"/>
        <w:autoSpaceDN w:val="0"/>
        <w:adjustRightInd w:val="0"/>
        <w:rPr>
          <w:rFonts w:cs="Arial"/>
        </w:rPr>
      </w:pPr>
    </w:p>
    <w:p w14:paraId="1E82AE2F" w14:textId="77777777" w:rsidR="00F86CFD" w:rsidRPr="00304FE4" w:rsidRDefault="007A5F5F" w:rsidP="00101668">
      <w:pPr>
        <w:autoSpaceDE w:val="0"/>
        <w:autoSpaceDN w:val="0"/>
        <w:adjustRightInd w:val="0"/>
        <w:rPr>
          <w:rFonts w:cs="Arial"/>
        </w:rPr>
      </w:pPr>
      <w:r w:rsidRPr="00304FE4">
        <w:rPr>
          <w:rFonts w:cs="Arial"/>
        </w:rPr>
        <w:t xml:space="preserve">Las subvenciones y/o transferencias con finalidad indeterminada, </w:t>
      </w:r>
      <w:r w:rsidR="005F4864">
        <w:rPr>
          <w:rFonts w:cs="Arial"/>
        </w:rPr>
        <w:t xml:space="preserve">concedidas por el accionista único </w:t>
      </w:r>
      <w:r w:rsidRPr="00304FE4">
        <w:rPr>
          <w:rFonts w:cs="Arial"/>
        </w:rPr>
        <w:t>para financiar déficits de explotación o gastos generales de funcionamiento de la empresa</w:t>
      </w:r>
      <w:r w:rsidR="00373109" w:rsidRPr="00304FE4">
        <w:rPr>
          <w:rFonts w:cs="Arial"/>
        </w:rPr>
        <w:t xml:space="preserve">, no asociados con ninguna actividad o área en concreto sino con el conjunto de las actividades que realiza, se registran como aportaciones de socios. </w:t>
      </w:r>
    </w:p>
    <w:p w14:paraId="1660F7B3" w14:textId="77777777" w:rsidR="00F86CFD" w:rsidRPr="00304FE4" w:rsidRDefault="00F86CFD" w:rsidP="00101668">
      <w:pPr>
        <w:autoSpaceDE w:val="0"/>
        <w:autoSpaceDN w:val="0"/>
        <w:adjustRightInd w:val="0"/>
        <w:rPr>
          <w:rFonts w:cs="Arial"/>
        </w:rPr>
      </w:pPr>
    </w:p>
    <w:p w14:paraId="210B5177" w14:textId="77777777" w:rsidR="00F86CFD" w:rsidRPr="00C33220" w:rsidRDefault="00970F4F" w:rsidP="00101668">
      <w:pPr>
        <w:autoSpaceDE w:val="0"/>
        <w:autoSpaceDN w:val="0"/>
        <w:adjustRightInd w:val="0"/>
        <w:rPr>
          <w:rFonts w:cs="Arial"/>
        </w:rPr>
      </w:pPr>
      <w:r w:rsidRPr="00304FE4">
        <w:rPr>
          <w:rFonts w:cs="Arial"/>
        </w:rPr>
        <w:t>Por otro lado, l</w:t>
      </w:r>
      <w:r w:rsidR="00EF7722" w:rsidRPr="00304FE4">
        <w:rPr>
          <w:rFonts w:cs="Arial"/>
        </w:rPr>
        <w:t>as subvenciones</w:t>
      </w:r>
      <w:r w:rsidR="00536B8D" w:rsidRPr="00304FE4">
        <w:rPr>
          <w:rFonts w:cs="Arial"/>
        </w:rPr>
        <w:t xml:space="preserve"> recibidas para financiar actividades específica</w:t>
      </w:r>
      <w:r w:rsidR="00EF7722" w:rsidRPr="00304FE4">
        <w:rPr>
          <w:rFonts w:cs="Arial"/>
        </w:rPr>
        <w:t xml:space="preserve">s se imputan a la cuenta de pérdidas y ganancias </w:t>
      </w:r>
      <w:r w:rsidR="002F77E7" w:rsidRPr="00304FE4">
        <w:rPr>
          <w:rFonts w:cs="Arial"/>
        </w:rPr>
        <w:t>del</w:t>
      </w:r>
      <w:r w:rsidR="00EF7722" w:rsidRPr="00304FE4">
        <w:rPr>
          <w:rFonts w:cs="Arial"/>
        </w:rPr>
        <w:t xml:space="preserve"> ejercicio en el que se devenguen los gastos que están financiando</w:t>
      </w:r>
      <w:r w:rsidR="00536B8D" w:rsidRPr="00304FE4">
        <w:rPr>
          <w:rFonts w:cs="Arial"/>
        </w:rPr>
        <w:t xml:space="preserve"> y que hayan sido declarados de interés general mediante una norma </w:t>
      </w:r>
      <w:r w:rsidR="00536B8D" w:rsidRPr="00C33220">
        <w:rPr>
          <w:rFonts w:cs="Arial"/>
        </w:rPr>
        <w:t>jurídica</w:t>
      </w:r>
      <w:r w:rsidR="00EF7722" w:rsidRPr="00C33220">
        <w:rPr>
          <w:rFonts w:cs="Arial"/>
        </w:rPr>
        <w:t xml:space="preserve">. </w:t>
      </w:r>
      <w:r w:rsidR="00536B8D" w:rsidRPr="00C33220">
        <w:rPr>
          <w:rFonts w:cs="Arial"/>
        </w:rPr>
        <w:t>As</w:t>
      </w:r>
      <w:r w:rsidR="000437B1">
        <w:rPr>
          <w:rFonts w:cs="Arial"/>
        </w:rPr>
        <w:t>i</w:t>
      </w:r>
      <w:r w:rsidR="00536B8D" w:rsidRPr="00C33220">
        <w:rPr>
          <w:rFonts w:cs="Arial"/>
        </w:rPr>
        <w:t>mismo</w:t>
      </w:r>
      <w:r w:rsidR="00DD25A4">
        <w:rPr>
          <w:rFonts w:cs="Arial"/>
        </w:rPr>
        <w:t>,</w:t>
      </w:r>
      <w:r w:rsidR="00536B8D" w:rsidRPr="00C33220">
        <w:rPr>
          <w:rFonts w:cs="Arial"/>
        </w:rPr>
        <w:t xml:space="preserve"> se considerarán </w:t>
      </w:r>
      <w:r w:rsidR="00DE5453" w:rsidRPr="00C33220">
        <w:rPr>
          <w:rFonts w:cs="Arial"/>
        </w:rPr>
        <w:t>como tales las</w:t>
      </w:r>
      <w:r w:rsidR="00536B8D" w:rsidRPr="00C33220">
        <w:rPr>
          <w:rFonts w:cs="Arial"/>
        </w:rPr>
        <w:t xml:space="preserve"> transferencias establecidas mediante contratos-programa, convenios u otros instrumentos jurídicos cuya finalidad sea la realización de una determinada</w:t>
      </w:r>
      <w:r w:rsidR="00DE5453" w:rsidRPr="00C33220">
        <w:rPr>
          <w:rFonts w:cs="Arial"/>
        </w:rPr>
        <w:t xml:space="preserve"> actividad o la prestación de un determinado servicio de interés público, siempre que en dichos instrumentos jurídicos se especifiquen las distintas finalidades que pueda tener la transferencia y los importes que financian cada una de las actividades específicas. </w:t>
      </w:r>
    </w:p>
    <w:p w14:paraId="4A4107FD" w14:textId="77777777" w:rsidR="00F86CFD" w:rsidRPr="00C33220" w:rsidRDefault="00F86CFD" w:rsidP="00101668">
      <w:pPr>
        <w:autoSpaceDE w:val="0"/>
        <w:autoSpaceDN w:val="0"/>
        <w:adjustRightInd w:val="0"/>
        <w:rPr>
          <w:rFonts w:cs="Arial"/>
        </w:rPr>
      </w:pPr>
    </w:p>
    <w:p w14:paraId="3BDC52DF" w14:textId="77777777" w:rsidR="00F86CFD" w:rsidRPr="00304FE4" w:rsidRDefault="00970F4F" w:rsidP="00101668">
      <w:pPr>
        <w:autoSpaceDE w:val="0"/>
        <w:autoSpaceDN w:val="0"/>
        <w:adjustRightInd w:val="0"/>
        <w:rPr>
          <w:rFonts w:cs="Arial"/>
        </w:rPr>
      </w:pPr>
      <w:r w:rsidRPr="00C33220">
        <w:rPr>
          <w:rFonts w:cs="Arial"/>
        </w:rPr>
        <w:t>No se imputarán a ingresos las transferencias realizadas para compensar pérdidas genéricas</w:t>
      </w:r>
      <w:r w:rsidRPr="00304FE4">
        <w:rPr>
          <w:rFonts w:cs="Arial"/>
        </w:rPr>
        <w:t xml:space="preserve"> aún en el caso de que hayan sido instrumentadas mediante contratos-programa o documentos similares. </w:t>
      </w:r>
    </w:p>
    <w:p w14:paraId="0E640650" w14:textId="77777777" w:rsidR="00F86CFD" w:rsidRPr="00304FE4" w:rsidRDefault="00F86CFD" w:rsidP="00101668">
      <w:pPr>
        <w:autoSpaceDE w:val="0"/>
        <w:autoSpaceDN w:val="0"/>
        <w:adjustRightInd w:val="0"/>
        <w:rPr>
          <w:rFonts w:cs="Arial"/>
        </w:rPr>
      </w:pPr>
    </w:p>
    <w:p w14:paraId="2E52E19D" w14:textId="77777777" w:rsidR="0054688D" w:rsidRPr="00304FE4" w:rsidRDefault="003372B9" w:rsidP="0008091A">
      <w:pPr>
        <w:autoSpaceDE w:val="0"/>
        <w:autoSpaceDN w:val="0"/>
        <w:adjustRightInd w:val="0"/>
        <w:rPr>
          <w:rFonts w:cs="Arial"/>
        </w:rPr>
      </w:pPr>
      <w:r w:rsidRPr="00304FE4">
        <w:rPr>
          <w:rFonts w:cs="Arial"/>
        </w:rPr>
        <w:t xml:space="preserve">Las subvenciones </w:t>
      </w:r>
      <w:r w:rsidR="00970F4F" w:rsidRPr="00304FE4">
        <w:rPr>
          <w:rFonts w:cs="Arial"/>
        </w:rPr>
        <w:t xml:space="preserve">y/o transferencias </w:t>
      </w:r>
      <w:r w:rsidRPr="00304FE4">
        <w:rPr>
          <w:rFonts w:cs="Arial"/>
        </w:rPr>
        <w:t>recibidas para</w:t>
      </w:r>
      <w:r w:rsidR="00970F4F" w:rsidRPr="00304FE4">
        <w:rPr>
          <w:rFonts w:cs="Arial"/>
        </w:rPr>
        <w:t xml:space="preserve"> realizar inversiones de inmovilizado</w:t>
      </w:r>
      <w:r w:rsidR="00293E40" w:rsidRPr="00304FE4">
        <w:rPr>
          <w:rFonts w:cs="Arial"/>
        </w:rPr>
        <w:t xml:space="preserve"> </w:t>
      </w:r>
      <w:r w:rsidR="00970F4F" w:rsidRPr="00304FE4">
        <w:rPr>
          <w:rFonts w:cs="Arial"/>
        </w:rPr>
        <w:t>se registran directamente a patrimonio neto</w:t>
      </w:r>
      <w:r w:rsidR="00D25E12">
        <w:rPr>
          <w:rFonts w:cs="Arial"/>
        </w:rPr>
        <w:t xml:space="preserve"> una vez deducido el efecto impositivo correspondiente</w:t>
      </w:r>
      <w:r w:rsidR="00970F4F" w:rsidRPr="00304FE4">
        <w:rPr>
          <w:rFonts w:cs="Arial"/>
        </w:rPr>
        <w:t>, reconociéndose posteriormente en la cuenta de pérdi</w:t>
      </w:r>
      <w:r w:rsidR="001D12CE" w:rsidRPr="00304FE4">
        <w:rPr>
          <w:rFonts w:cs="Arial"/>
        </w:rPr>
        <w:t>das y ganancias</w:t>
      </w:r>
      <w:r w:rsidR="00293E40" w:rsidRPr="00304FE4">
        <w:rPr>
          <w:rFonts w:cs="Arial"/>
        </w:rPr>
        <w:t xml:space="preserve"> del ejercicio en proporción a </w:t>
      </w:r>
      <w:r w:rsidR="00D25E12">
        <w:rPr>
          <w:rFonts w:cs="Arial"/>
        </w:rPr>
        <w:t>la</w:t>
      </w:r>
      <w:r w:rsidR="00293E40" w:rsidRPr="00304FE4">
        <w:rPr>
          <w:rFonts w:cs="Arial"/>
        </w:rPr>
        <w:t xml:space="preserve"> amortización</w:t>
      </w:r>
      <w:r w:rsidR="00D25E12">
        <w:rPr>
          <w:rFonts w:cs="Arial"/>
        </w:rPr>
        <w:t xml:space="preserve"> del activo que financian</w:t>
      </w:r>
      <w:r w:rsidR="00293E40" w:rsidRPr="00304FE4">
        <w:rPr>
          <w:rFonts w:cs="Arial"/>
        </w:rPr>
        <w:t>.</w:t>
      </w:r>
    </w:p>
    <w:p w14:paraId="3CA60081" w14:textId="5ECFD85E" w:rsidR="00FF2704" w:rsidRPr="00304FE4" w:rsidRDefault="00995FA4" w:rsidP="00995FA4">
      <w:pPr>
        <w:spacing w:before="240"/>
        <w:rPr>
          <w:rFonts w:cs="Arial"/>
          <w:b/>
          <w:color w:val="000000"/>
        </w:rPr>
      </w:pPr>
      <w:r w:rsidRPr="00304FE4">
        <w:rPr>
          <w:rFonts w:cs="Arial"/>
          <w:b/>
          <w:color w:val="000000"/>
        </w:rPr>
        <w:t>4.1</w:t>
      </w:r>
      <w:r w:rsidR="00A44957">
        <w:rPr>
          <w:rFonts w:cs="Arial"/>
          <w:b/>
          <w:color w:val="000000"/>
        </w:rPr>
        <w:t>2</w:t>
      </w:r>
      <w:r w:rsidRPr="00304FE4">
        <w:rPr>
          <w:rFonts w:cs="Arial"/>
          <w:b/>
          <w:color w:val="000000"/>
        </w:rPr>
        <w:tab/>
      </w:r>
      <w:r w:rsidR="00293E40" w:rsidRPr="00304FE4">
        <w:rPr>
          <w:rFonts w:cs="Arial"/>
          <w:b/>
          <w:color w:val="000000"/>
        </w:rPr>
        <w:t>Provisiones</w:t>
      </w:r>
      <w:r w:rsidR="001D12CE" w:rsidRPr="00304FE4">
        <w:rPr>
          <w:rFonts w:cs="Arial"/>
          <w:b/>
          <w:color w:val="000000"/>
        </w:rPr>
        <w:t xml:space="preserve"> y contingencias</w:t>
      </w:r>
    </w:p>
    <w:p w14:paraId="476E1EBE" w14:textId="77777777" w:rsidR="009A318D" w:rsidRPr="00304FE4" w:rsidRDefault="001D12CE" w:rsidP="006922B2">
      <w:pPr>
        <w:spacing w:before="240"/>
      </w:pPr>
      <w:r w:rsidRPr="00304FE4">
        <w:rPr>
          <w:rFonts w:cs="Arial"/>
        </w:rPr>
        <w:t>Los pasivos que resultan indeterminados respecto a su importe o a la fecha en que se cancelarán</w:t>
      </w:r>
      <w:r w:rsidR="00FF2704" w:rsidRPr="00304FE4">
        <w:rPr>
          <w:rFonts w:cs="Arial"/>
        </w:rPr>
        <w:t xml:space="preserve"> se reconocen en el balance </w:t>
      </w:r>
      <w:r w:rsidRPr="00304FE4">
        <w:rPr>
          <w:rFonts w:cs="Arial"/>
        </w:rPr>
        <w:t xml:space="preserve">como provisiones, </w:t>
      </w:r>
      <w:r w:rsidR="00FF2704" w:rsidRPr="00304FE4">
        <w:rPr>
          <w:rFonts w:cs="Arial"/>
        </w:rPr>
        <w:t xml:space="preserve">cuando la Sociedad tiene una obligación </w:t>
      </w:r>
      <w:r w:rsidR="00A55073" w:rsidRPr="00304FE4">
        <w:rPr>
          <w:rFonts w:cs="Arial"/>
        </w:rPr>
        <w:t xml:space="preserve">actual </w:t>
      </w:r>
      <w:r w:rsidR="00FF2704" w:rsidRPr="00304FE4">
        <w:rPr>
          <w:rFonts w:cs="Arial"/>
        </w:rPr>
        <w:t xml:space="preserve">(ya sea </w:t>
      </w:r>
      <w:r w:rsidR="008333D1" w:rsidRPr="00304FE4">
        <w:rPr>
          <w:rFonts w:cs="Arial"/>
        </w:rPr>
        <w:t xml:space="preserve">por </w:t>
      </w:r>
      <w:r w:rsidR="00A55073" w:rsidRPr="00304FE4">
        <w:rPr>
          <w:rFonts w:cs="Arial"/>
        </w:rPr>
        <w:t xml:space="preserve">una </w:t>
      </w:r>
      <w:r w:rsidR="008333D1" w:rsidRPr="00304FE4">
        <w:rPr>
          <w:rFonts w:cs="Arial"/>
        </w:rPr>
        <w:t xml:space="preserve">disposición </w:t>
      </w:r>
      <w:r w:rsidR="00FF2704" w:rsidRPr="00304FE4">
        <w:rPr>
          <w:rFonts w:cs="Arial"/>
        </w:rPr>
        <w:t>legal</w:t>
      </w:r>
      <w:r w:rsidR="00A55073" w:rsidRPr="00304FE4">
        <w:rPr>
          <w:rFonts w:cs="Arial"/>
        </w:rPr>
        <w:t xml:space="preserve">, </w:t>
      </w:r>
      <w:r w:rsidR="008333D1" w:rsidRPr="00304FE4">
        <w:rPr>
          <w:rFonts w:cs="Arial"/>
        </w:rPr>
        <w:t>contractual</w:t>
      </w:r>
      <w:r w:rsidR="00FF2704" w:rsidRPr="00304FE4">
        <w:rPr>
          <w:rFonts w:cs="Arial"/>
        </w:rPr>
        <w:t xml:space="preserve"> </w:t>
      </w:r>
      <w:r w:rsidR="008333D1" w:rsidRPr="00304FE4">
        <w:rPr>
          <w:rFonts w:cs="Arial"/>
        </w:rPr>
        <w:t xml:space="preserve">o por una obligación </w:t>
      </w:r>
      <w:r w:rsidR="00FF2704" w:rsidRPr="00304FE4">
        <w:rPr>
          <w:rFonts w:cs="Arial"/>
        </w:rPr>
        <w:t>implícita</w:t>
      </w:r>
      <w:r w:rsidR="00BC44EB" w:rsidRPr="00304FE4">
        <w:rPr>
          <w:rFonts w:cs="Arial"/>
        </w:rPr>
        <w:t xml:space="preserve"> o tá</w:t>
      </w:r>
      <w:r w:rsidR="008333D1" w:rsidRPr="00304FE4">
        <w:rPr>
          <w:rFonts w:cs="Arial"/>
        </w:rPr>
        <w:t>cita</w:t>
      </w:r>
      <w:r w:rsidR="00FF2704" w:rsidRPr="00304FE4">
        <w:rPr>
          <w:rFonts w:cs="Arial"/>
        </w:rPr>
        <w:t>)</w:t>
      </w:r>
      <w:r w:rsidR="00A55073" w:rsidRPr="00304FE4">
        <w:rPr>
          <w:rFonts w:cs="Arial"/>
        </w:rPr>
        <w:t>, surgida</w:t>
      </w:r>
      <w:r w:rsidR="00FF2704" w:rsidRPr="00304FE4">
        <w:rPr>
          <w:rFonts w:cs="Arial"/>
        </w:rPr>
        <w:t xml:space="preserve"> como </w:t>
      </w:r>
      <w:r w:rsidR="00A55073" w:rsidRPr="00304FE4">
        <w:rPr>
          <w:rFonts w:cs="Arial"/>
        </w:rPr>
        <w:t xml:space="preserve">consecuencia de sucesos pasados, que </w:t>
      </w:r>
      <w:r w:rsidR="00F864D7" w:rsidRPr="00304FE4">
        <w:rPr>
          <w:rFonts w:cs="Arial"/>
        </w:rPr>
        <w:t>se estima</w:t>
      </w:r>
      <w:r w:rsidR="00FF2704" w:rsidRPr="00304FE4">
        <w:rPr>
          <w:rFonts w:cs="Arial"/>
        </w:rPr>
        <w:t xml:space="preserve"> probable que </w:t>
      </w:r>
      <w:r w:rsidR="008E3D8A" w:rsidRPr="00304FE4">
        <w:rPr>
          <w:rFonts w:cs="Arial"/>
        </w:rPr>
        <w:t>suponga</w:t>
      </w:r>
      <w:r w:rsidR="00FF2704" w:rsidRPr="00304FE4">
        <w:rPr>
          <w:rFonts w:cs="Arial"/>
        </w:rPr>
        <w:t xml:space="preserve"> </w:t>
      </w:r>
      <w:r w:rsidR="00A55073" w:rsidRPr="00304FE4">
        <w:rPr>
          <w:rFonts w:cs="Arial"/>
        </w:rPr>
        <w:t>una</w:t>
      </w:r>
      <w:r w:rsidR="00FF2704" w:rsidRPr="00304FE4">
        <w:rPr>
          <w:rFonts w:cs="Arial"/>
        </w:rPr>
        <w:t xml:space="preserve"> salida de recursos para </w:t>
      </w:r>
      <w:r w:rsidR="003455CD" w:rsidRPr="00304FE4">
        <w:rPr>
          <w:rFonts w:cs="Arial"/>
        </w:rPr>
        <w:t>su liquidación</w:t>
      </w:r>
      <w:r w:rsidR="00A55073" w:rsidRPr="00304FE4">
        <w:rPr>
          <w:rFonts w:cs="Arial"/>
        </w:rPr>
        <w:t xml:space="preserve"> y </w:t>
      </w:r>
      <w:r w:rsidR="001F524B" w:rsidRPr="00304FE4">
        <w:rPr>
          <w:rFonts w:cs="Arial"/>
        </w:rPr>
        <w:t>que es</w:t>
      </w:r>
      <w:r w:rsidR="00A55073" w:rsidRPr="00304FE4">
        <w:rPr>
          <w:rFonts w:cs="Arial"/>
        </w:rPr>
        <w:t xml:space="preserve"> cuantificable</w:t>
      </w:r>
      <w:r w:rsidR="00FF2704" w:rsidRPr="00304FE4">
        <w:rPr>
          <w:rFonts w:cs="Arial"/>
        </w:rPr>
        <w:t>.</w:t>
      </w:r>
    </w:p>
    <w:p w14:paraId="669E3C9B" w14:textId="77777777" w:rsidR="0091388A" w:rsidRPr="00304FE4" w:rsidRDefault="00FF2704" w:rsidP="0091388A">
      <w:pPr>
        <w:widowControl w:val="0"/>
        <w:autoSpaceDE w:val="0"/>
        <w:autoSpaceDN w:val="0"/>
        <w:adjustRightInd w:val="0"/>
        <w:spacing w:before="240"/>
      </w:pPr>
      <w:r w:rsidRPr="00304FE4">
        <w:lastRenderedPageBreak/>
        <w:t>Las provisiones se valoran por el valor actual de la mejor estimación posible del importe necesario para cancelar o transferir a un tercero la obligación, registrándose los ajustes que surjan por la actualización de la provisión como un gasto financie</w:t>
      </w:r>
      <w:r w:rsidR="00F96D02" w:rsidRPr="00304FE4">
        <w:t>ro conforme se v</w:t>
      </w:r>
      <w:r w:rsidR="00781513" w:rsidRPr="00304FE4">
        <w:t>an devengando.</w:t>
      </w:r>
      <w:r w:rsidRPr="00304FE4">
        <w:t xml:space="preserve"> </w:t>
      </w:r>
      <w:r w:rsidR="00293E40" w:rsidRPr="00304FE4">
        <w:t>Cuando se trata de</w:t>
      </w:r>
      <w:r w:rsidRPr="00304FE4">
        <w:t xml:space="preserve"> provisiones con vencimiento inferior o igual a un año, </w:t>
      </w:r>
      <w:r w:rsidR="00293E40" w:rsidRPr="00304FE4">
        <w:t>y</w:t>
      </w:r>
      <w:r w:rsidRPr="00304FE4">
        <w:t xml:space="preserve"> el efecto financiero no </w:t>
      </w:r>
      <w:r w:rsidR="00A55073" w:rsidRPr="00304FE4">
        <w:t>es</w:t>
      </w:r>
      <w:r w:rsidRPr="00304FE4">
        <w:t xml:space="preserve"> significativo, no se lleva a cabo ningún tipo de descuento. Las provisiones se revisan a la fecha de cierre de cada balance y son ajustadas con el objetivo de reflejar la mejor estimación actual del pasivo correspondiente en cada momento. </w:t>
      </w:r>
    </w:p>
    <w:p w14:paraId="5F88017D" w14:textId="0A63E361" w:rsidR="001D12CE" w:rsidRPr="003C4209" w:rsidRDefault="001D12CE" w:rsidP="001D12CE">
      <w:pPr>
        <w:widowControl w:val="0"/>
        <w:autoSpaceDE w:val="0"/>
        <w:autoSpaceDN w:val="0"/>
        <w:adjustRightInd w:val="0"/>
        <w:spacing w:before="240"/>
      </w:pPr>
      <w:r w:rsidRPr="00304FE4">
        <w:rPr>
          <w:rFonts w:cs="Arial"/>
          <w:color w:val="000000"/>
        </w:rPr>
        <w:t xml:space="preserve">Por otra parte, se consideran pasivos contingentes aquellas posibles obligaciones, surgidas como consecuencia de sucesos pasados, cuya materialización está condicionada a que ocurran eventos futuros que no están enteramente bajo el control de la Sociedad y aquellas obligaciones presentes, surgidas como consecuencia de sucesos pasados, para las que no es probable que haya una salida </w:t>
      </w:r>
      <w:r w:rsidRPr="003C4209">
        <w:t>de recursos para su liquidación o no se pueden valorar con suficiente fiabilidad. Estos pasivos no son objeto de registro contable, detallándose los mismos en la memoria, excepto cuando la salida de recursos sea remota.</w:t>
      </w:r>
    </w:p>
    <w:p w14:paraId="52BFAA0E" w14:textId="77777777" w:rsidR="006922B2" w:rsidRPr="003C4209" w:rsidRDefault="006922B2" w:rsidP="003C4209">
      <w:pPr>
        <w:widowControl w:val="0"/>
        <w:autoSpaceDE w:val="0"/>
        <w:autoSpaceDN w:val="0"/>
        <w:adjustRightInd w:val="0"/>
        <w:spacing w:before="240"/>
      </w:pPr>
      <w:r w:rsidRPr="003C4209">
        <w:t xml:space="preserve">La Sociedad no tiene contraídas obligaciones por pensiones, estando los empleados de la misma </w:t>
      </w:r>
      <w:r w:rsidR="000D79DA" w:rsidRPr="003C4209">
        <w:t>cubiertos por el sistema de la Seguridad Social del Estado.</w:t>
      </w:r>
    </w:p>
    <w:p w14:paraId="76CDB6AA" w14:textId="77777777" w:rsidR="006922B2" w:rsidRPr="00123184" w:rsidRDefault="00D44CB0" w:rsidP="003C4209">
      <w:pPr>
        <w:widowControl w:val="0"/>
        <w:autoSpaceDE w:val="0"/>
        <w:autoSpaceDN w:val="0"/>
        <w:adjustRightInd w:val="0"/>
        <w:spacing w:before="240"/>
        <w:rPr>
          <w:rFonts w:cs="Arial"/>
        </w:rPr>
      </w:pPr>
      <w:r w:rsidRPr="003C4209">
        <w:t>El artículo 30 del convenio colectivo de empresas de ingeniería y oficinas de estudios técnicos establece los siguientes</w:t>
      </w:r>
      <w:r w:rsidRPr="00123184">
        <w:rPr>
          <w:rFonts w:cs="Arial"/>
        </w:rPr>
        <w:t xml:space="preserve"> apartados:</w:t>
      </w:r>
    </w:p>
    <w:p w14:paraId="4CE58155" w14:textId="77777777" w:rsidR="006922B2" w:rsidRPr="00123184" w:rsidRDefault="006922B2" w:rsidP="006922B2">
      <w:pPr>
        <w:pStyle w:val="Textoindependiente"/>
        <w:rPr>
          <w:rFonts w:ascii="Arial" w:hAnsi="Arial" w:cs="Arial"/>
          <w:sz w:val="20"/>
          <w:szCs w:val="24"/>
        </w:rPr>
      </w:pPr>
    </w:p>
    <w:p w14:paraId="1B9F712C" w14:textId="77777777" w:rsidR="006922B2" w:rsidRPr="00123184" w:rsidRDefault="007279CF" w:rsidP="006922B2">
      <w:pPr>
        <w:autoSpaceDE w:val="0"/>
        <w:autoSpaceDN w:val="0"/>
        <w:adjustRightInd w:val="0"/>
        <w:spacing w:before="120" w:after="120"/>
        <w:ind w:left="567" w:right="105"/>
        <w:rPr>
          <w:rFonts w:cs="Arial"/>
        </w:rPr>
      </w:pPr>
      <w:r w:rsidRPr="00123184">
        <w:rPr>
          <w:rFonts w:cs="Arial"/>
        </w:rPr>
        <w:t xml:space="preserve">1. Para cubrir los riesgos de los viajes de servicio, la dirección de la empresa concertará el establecimiento de un seguro de accidentes, complementario del obligatorio, siempre que no tenga en vigor algún otro seguro de más amplia cobertura. </w:t>
      </w:r>
    </w:p>
    <w:p w14:paraId="4EC56FE9" w14:textId="77777777" w:rsidR="006922B2" w:rsidRDefault="007279CF" w:rsidP="006922B2">
      <w:pPr>
        <w:autoSpaceDE w:val="0"/>
        <w:autoSpaceDN w:val="0"/>
        <w:adjustRightInd w:val="0"/>
        <w:spacing w:before="120" w:after="120"/>
        <w:ind w:left="567" w:right="105"/>
        <w:rPr>
          <w:rFonts w:cs="Arial"/>
        </w:rPr>
      </w:pPr>
      <w:r w:rsidRPr="00123184">
        <w:rPr>
          <w:rFonts w:cs="Arial"/>
        </w:rPr>
        <w:t xml:space="preserve">El capital asegurado no será nunca inferior a veintidós mil euros, y cubrirá las contingencias de muerte, incapacidad permanente absoluta y gran invalidez, derivadas de accidente de trabajo. </w:t>
      </w:r>
    </w:p>
    <w:p w14:paraId="0337974E" w14:textId="77777777" w:rsidR="006922B2" w:rsidRDefault="007279CF" w:rsidP="006922B2">
      <w:pPr>
        <w:autoSpaceDE w:val="0"/>
        <w:autoSpaceDN w:val="0"/>
        <w:adjustRightInd w:val="0"/>
        <w:spacing w:before="120" w:after="120"/>
        <w:ind w:left="567" w:right="105"/>
        <w:rPr>
          <w:rFonts w:cs="Arial"/>
        </w:rPr>
      </w:pPr>
      <w:r w:rsidRPr="00123184">
        <w:rPr>
          <w:rFonts w:cs="Arial"/>
        </w:rPr>
        <w:t>2. La indemnización convenida en el apartado 1 anterior, tendrá en todo caso la consideración de percepción a cuenta de cualesquiera cantidades que pudieran ser reconocidas al trabajador como consecuencia de responsabilidades económicas que se imputen a la empresa por accidente, siendo, por tanto, deducible de aquéllas.</w:t>
      </w:r>
    </w:p>
    <w:p w14:paraId="6C022574" w14:textId="77777777" w:rsidR="003B133E" w:rsidRDefault="003B133E" w:rsidP="00995FA4">
      <w:pPr>
        <w:rPr>
          <w:rFonts w:cs="Arial"/>
          <w:b/>
          <w:color w:val="000000"/>
        </w:rPr>
      </w:pPr>
    </w:p>
    <w:p w14:paraId="4A705388" w14:textId="62D4AACC" w:rsidR="00EF7722" w:rsidRPr="00304FE4" w:rsidRDefault="00995FA4" w:rsidP="00995FA4">
      <w:pPr>
        <w:rPr>
          <w:rFonts w:cs="Arial"/>
          <w:b/>
          <w:color w:val="000000"/>
        </w:rPr>
      </w:pPr>
      <w:r w:rsidRPr="00304FE4">
        <w:rPr>
          <w:rFonts w:cs="Arial"/>
          <w:b/>
          <w:color w:val="000000"/>
        </w:rPr>
        <w:t>4.1</w:t>
      </w:r>
      <w:r w:rsidR="00A44957">
        <w:rPr>
          <w:rFonts w:cs="Arial"/>
          <w:b/>
          <w:color w:val="000000"/>
        </w:rPr>
        <w:t>3</w:t>
      </w:r>
      <w:r w:rsidRPr="00304FE4">
        <w:rPr>
          <w:rFonts w:cs="Arial"/>
          <w:b/>
          <w:color w:val="000000"/>
        </w:rPr>
        <w:tab/>
      </w:r>
      <w:r w:rsidR="00EF7722" w:rsidRPr="00304FE4">
        <w:rPr>
          <w:rFonts w:cs="Arial"/>
          <w:b/>
          <w:color w:val="000000"/>
        </w:rPr>
        <w:t>Impuesto sobre beneficios</w:t>
      </w:r>
    </w:p>
    <w:p w14:paraId="524166F5" w14:textId="77777777" w:rsidR="00EF7722" w:rsidRPr="00304FE4" w:rsidRDefault="00EF7722" w:rsidP="00AA5096">
      <w:pPr>
        <w:spacing w:before="200"/>
        <w:rPr>
          <w:rFonts w:cs="Arial"/>
        </w:rPr>
      </w:pPr>
      <w:r w:rsidRPr="00304FE4">
        <w:rPr>
          <w:rFonts w:cs="Arial"/>
        </w:rPr>
        <w:t>El gasto por impuesto sobre beneficios</w:t>
      </w:r>
      <w:r w:rsidR="00DA380B" w:rsidRPr="00304FE4">
        <w:rPr>
          <w:rFonts w:cs="Arial"/>
        </w:rPr>
        <w:t xml:space="preserve"> del ejercicio</w:t>
      </w:r>
      <w:r w:rsidRPr="00304FE4">
        <w:rPr>
          <w:rFonts w:cs="Arial"/>
        </w:rPr>
        <w:t xml:space="preserve"> se calcula </w:t>
      </w:r>
      <w:r w:rsidR="00F1353C" w:rsidRPr="00304FE4">
        <w:rPr>
          <w:rFonts w:cs="Arial"/>
        </w:rPr>
        <w:t>mediante</w:t>
      </w:r>
      <w:r w:rsidRPr="00304FE4">
        <w:rPr>
          <w:rFonts w:cs="Arial"/>
        </w:rPr>
        <w:t xml:space="preserve"> </w:t>
      </w:r>
      <w:r w:rsidR="00190556" w:rsidRPr="00304FE4">
        <w:rPr>
          <w:rFonts w:cs="Arial"/>
        </w:rPr>
        <w:t xml:space="preserve">la suma del </w:t>
      </w:r>
      <w:r w:rsidRPr="00304FE4">
        <w:rPr>
          <w:rFonts w:cs="Arial"/>
        </w:rPr>
        <w:t xml:space="preserve">impuesto </w:t>
      </w:r>
      <w:r w:rsidR="00190556" w:rsidRPr="00304FE4">
        <w:rPr>
          <w:rFonts w:cs="Arial"/>
        </w:rPr>
        <w:t xml:space="preserve">corriente, que resulta de aplicar el correspondiente tipo de gravamen a la base imponible del ejercicio menos las bonificaciones y deducciones existentes, y </w:t>
      </w:r>
      <w:r w:rsidRPr="00304FE4">
        <w:rPr>
          <w:rFonts w:cs="Arial"/>
        </w:rPr>
        <w:t>de las variaciones producidas durante dicho ejercicio en los activos y pasivos por impuesto</w:t>
      </w:r>
      <w:r w:rsidR="002F77E7" w:rsidRPr="00304FE4">
        <w:rPr>
          <w:rFonts w:cs="Arial"/>
        </w:rPr>
        <w:t>s</w:t>
      </w:r>
      <w:r w:rsidRPr="00304FE4">
        <w:rPr>
          <w:rFonts w:cs="Arial"/>
        </w:rPr>
        <w:t xml:space="preserve"> diferido</w:t>
      </w:r>
      <w:r w:rsidR="002F77E7" w:rsidRPr="00304FE4">
        <w:rPr>
          <w:rFonts w:cs="Arial"/>
        </w:rPr>
        <w:t>s</w:t>
      </w:r>
      <w:r w:rsidRPr="00304FE4">
        <w:rPr>
          <w:rFonts w:cs="Arial"/>
        </w:rPr>
        <w:t xml:space="preserve"> registrados.</w:t>
      </w:r>
      <w:r w:rsidR="00190556" w:rsidRPr="00304FE4">
        <w:rPr>
          <w:rFonts w:cs="Arial"/>
        </w:rPr>
        <w:t xml:space="preserve"> S</w:t>
      </w:r>
      <w:r w:rsidRPr="00304FE4">
        <w:rPr>
          <w:rFonts w:cs="Arial"/>
        </w:rPr>
        <w:t xml:space="preserve">e reconoce en la cuenta de pérdidas y ganancias, excepto cuando </w:t>
      </w:r>
      <w:r w:rsidR="00190556" w:rsidRPr="00304FE4">
        <w:rPr>
          <w:rFonts w:cs="Arial"/>
        </w:rPr>
        <w:t>corresponde a transacciones que</w:t>
      </w:r>
      <w:r w:rsidRPr="00304FE4">
        <w:rPr>
          <w:rFonts w:cs="Arial"/>
        </w:rPr>
        <w:t xml:space="preserve"> se registra</w:t>
      </w:r>
      <w:r w:rsidR="00190556" w:rsidRPr="00304FE4">
        <w:rPr>
          <w:rFonts w:cs="Arial"/>
        </w:rPr>
        <w:t>n</w:t>
      </w:r>
      <w:r w:rsidRPr="00304FE4">
        <w:rPr>
          <w:rFonts w:cs="Arial"/>
        </w:rPr>
        <w:t xml:space="preserve"> directamente en el patrimonio neto, en cuyo caso el impuesto corre</w:t>
      </w:r>
      <w:r w:rsidR="002F77E7" w:rsidRPr="00304FE4">
        <w:rPr>
          <w:rFonts w:cs="Arial"/>
        </w:rPr>
        <w:t>spondiente también se registra</w:t>
      </w:r>
      <w:r w:rsidRPr="00304FE4">
        <w:rPr>
          <w:rFonts w:cs="Arial"/>
        </w:rPr>
        <w:t xml:space="preserve"> en el patrimonio neto</w:t>
      </w:r>
      <w:r w:rsidR="00881C1D" w:rsidRPr="00304FE4">
        <w:rPr>
          <w:rFonts w:cs="Arial"/>
        </w:rPr>
        <w:t>.</w:t>
      </w:r>
    </w:p>
    <w:p w14:paraId="32179866" w14:textId="77777777" w:rsidR="003A5152" w:rsidRPr="00304FE4" w:rsidRDefault="00EF7722" w:rsidP="00AA5096">
      <w:pPr>
        <w:spacing w:before="200"/>
        <w:rPr>
          <w:rFonts w:cs="Arial"/>
          <w:color w:val="000000"/>
        </w:rPr>
      </w:pPr>
      <w:r w:rsidRPr="00304FE4">
        <w:rPr>
          <w:rFonts w:cs="Arial"/>
        </w:rPr>
        <w:t xml:space="preserve">Los impuestos diferidos se registran para las diferencias temporarias existentes </w:t>
      </w:r>
      <w:r w:rsidR="002F77E7" w:rsidRPr="00304FE4">
        <w:rPr>
          <w:rFonts w:cs="Arial"/>
        </w:rPr>
        <w:t>en</w:t>
      </w:r>
      <w:r w:rsidRPr="00304FE4">
        <w:rPr>
          <w:rFonts w:cs="Arial"/>
        </w:rPr>
        <w:t xml:space="preserve"> la fecha del balance entre la base fiscal de los activos y pasivos y sus valores contables. </w:t>
      </w:r>
      <w:r w:rsidRPr="00304FE4">
        <w:rPr>
          <w:rFonts w:cs="Arial"/>
          <w:color w:val="000000"/>
        </w:rPr>
        <w:t xml:space="preserve">Se considera como base fiscal de un elemento patrimonial el importe atribuido al mismo a efectos fiscales. </w:t>
      </w:r>
    </w:p>
    <w:p w14:paraId="4E3E6143" w14:textId="77777777" w:rsidR="00EF7722" w:rsidRPr="00304FE4" w:rsidRDefault="00EF7722" w:rsidP="00AA5096">
      <w:pPr>
        <w:spacing w:before="200"/>
        <w:rPr>
          <w:rFonts w:cs="Arial"/>
        </w:rPr>
      </w:pPr>
      <w:r w:rsidRPr="00304FE4">
        <w:rPr>
          <w:rFonts w:cs="Arial"/>
        </w:rPr>
        <w:t xml:space="preserve">El efecto impositivo de las diferencias </w:t>
      </w:r>
      <w:r w:rsidR="00190556" w:rsidRPr="00304FE4">
        <w:rPr>
          <w:rFonts w:cs="Arial"/>
        </w:rPr>
        <w:t xml:space="preserve">temporarias se incluye </w:t>
      </w:r>
      <w:r w:rsidRPr="00304FE4">
        <w:rPr>
          <w:rFonts w:cs="Arial"/>
        </w:rPr>
        <w:t>en los correspondientes epígrafes de “Activos por impuesto diferido” y “Pasivos por impuesto diferido” del balance.</w:t>
      </w:r>
    </w:p>
    <w:p w14:paraId="4A2629DF" w14:textId="77777777" w:rsidR="00EF7722" w:rsidRPr="00304FE4" w:rsidRDefault="00EF7722" w:rsidP="00AA5096">
      <w:pPr>
        <w:spacing w:before="200"/>
        <w:rPr>
          <w:rFonts w:cs="Arial"/>
        </w:rPr>
      </w:pPr>
      <w:r w:rsidRPr="00304FE4">
        <w:rPr>
          <w:rFonts w:cs="Arial"/>
        </w:rPr>
        <w:t>La Sociedad reconoce un pasivo por impuesto diferido para todas las diferencias temporarias imponibles</w:t>
      </w:r>
      <w:r w:rsidR="00A02CBE" w:rsidRPr="00304FE4">
        <w:rPr>
          <w:rFonts w:cs="Arial"/>
        </w:rPr>
        <w:t>, salvo, en su caso, para las excepciones previstas en la normativa vigente.</w:t>
      </w:r>
    </w:p>
    <w:p w14:paraId="35212462" w14:textId="77777777" w:rsidR="00EF7722" w:rsidRPr="00304FE4" w:rsidRDefault="00EF7722" w:rsidP="00AA5096">
      <w:pPr>
        <w:spacing w:before="200"/>
        <w:rPr>
          <w:rFonts w:cs="Arial"/>
        </w:rPr>
      </w:pPr>
      <w:r w:rsidRPr="00304FE4">
        <w:rPr>
          <w:rFonts w:cs="Arial"/>
        </w:rPr>
        <w:t xml:space="preserve">La Sociedad reconoce los activos por impuesto diferido para todas las diferencias temporarias deducibles, créditos fiscales no utilizados y bases imponibles negativas pendientes de compensar, en la medida en que resulte probable que la Sociedad disponga de ganancias fiscales futuras que permitan la aplicación de estos activos, </w:t>
      </w:r>
      <w:r w:rsidR="00A02CBE" w:rsidRPr="00304FE4">
        <w:rPr>
          <w:rFonts w:cs="Arial"/>
        </w:rPr>
        <w:t>salvo, en su caso, para las excepciones previstas en la normativa vigente.</w:t>
      </w:r>
    </w:p>
    <w:p w14:paraId="537D8B4F" w14:textId="77777777" w:rsidR="00EF7722" w:rsidRPr="00304FE4" w:rsidRDefault="00EF7722" w:rsidP="00AA5096">
      <w:pPr>
        <w:spacing w:before="200"/>
        <w:rPr>
          <w:rFonts w:cs="Arial"/>
        </w:rPr>
      </w:pPr>
      <w:r w:rsidRPr="00304FE4">
        <w:rPr>
          <w:rFonts w:cs="Arial"/>
        </w:rPr>
        <w:lastRenderedPageBreak/>
        <w:t xml:space="preserve">En la fecha de cierre de cada ejercicio la Sociedad evalúa los activos por </w:t>
      </w:r>
      <w:r w:rsidR="005E1A22" w:rsidRPr="00304FE4">
        <w:rPr>
          <w:rFonts w:cs="Arial"/>
        </w:rPr>
        <w:t>impuestos diferidos reconocidos</w:t>
      </w:r>
      <w:r w:rsidRPr="00304FE4">
        <w:rPr>
          <w:rFonts w:cs="Arial"/>
        </w:rPr>
        <w:t xml:space="preserve"> y aquellos que no se han reconocido anteriormente. En base a tal evaluación, la Sociedad procede a dar de baja un activo reconocido anteriormente si ya no resulta probable su recuperación, o procede a registrar cualquier activo por impuesto diferido no reconocido anteriormente siempre que resulte probable que la Sociedad disponga de ganancias fiscales futuras que permitan su aplicación. </w:t>
      </w:r>
    </w:p>
    <w:p w14:paraId="12562906" w14:textId="77777777" w:rsidR="00EF7722" w:rsidRPr="00304FE4" w:rsidRDefault="00EF7722" w:rsidP="00AA5096">
      <w:pPr>
        <w:spacing w:before="200"/>
        <w:rPr>
          <w:rFonts w:cs="Arial"/>
        </w:rPr>
      </w:pPr>
      <w:r w:rsidRPr="00304FE4">
        <w:rPr>
          <w:rFonts w:cs="Arial"/>
        </w:rPr>
        <w:t xml:space="preserve">Los activos y pasivos por impuesto diferido se valoran a los tipos de gravamen esperados en el momento de su reversión, según la normativa vigente aprobada, y de acuerdo con la forma en que racionalmente se espera recuperar o pagar el activo o pasivo por impuesto diferido. </w:t>
      </w:r>
    </w:p>
    <w:p w14:paraId="0E707E0F" w14:textId="2C33065E" w:rsidR="00401087" w:rsidRDefault="00EF7722" w:rsidP="00AA5096">
      <w:pPr>
        <w:widowControl w:val="0"/>
        <w:autoSpaceDE w:val="0"/>
        <w:autoSpaceDN w:val="0"/>
        <w:adjustRightInd w:val="0"/>
        <w:spacing w:before="200"/>
        <w:rPr>
          <w:rFonts w:cs="Arial"/>
          <w:color w:val="000000"/>
        </w:rPr>
      </w:pPr>
      <w:r w:rsidRPr="00304FE4">
        <w:rPr>
          <w:rFonts w:cs="Arial"/>
          <w:color w:val="000000"/>
        </w:rPr>
        <w:t>Los activos y pasivos por impuesto diferido no se descuentan y se clasifican como activos y pasivos no corrie</w:t>
      </w:r>
      <w:r w:rsidR="001D12CE" w:rsidRPr="00304FE4">
        <w:rPr>
          <w:rFonts w:cs="Arial"/>
          <w:color w:val="000000"/>
        </w:rPr>
        <w:t>ntes, independientemente de la fecha esperada de realización o liquidación.</w:t>
      </w:r>
    </w:p>
    <w:p w14:paraId="0CA0C5BE" w14:textId="6DA98945" w:rsidR="00F1353C" w:rsidRPr="00304FE4" w:rsidRDefault="00B9326B" w:rsidP="00B9326B">
      <w:pPr>
        <w:widowControl w:val="0"/>
        <w:autoSpaceDE w:val="0"/>
        <w:autoSpaceDN w:val="0"/>
        <w:adjustRightInd w:val="0"/>
        <w:spacing w:before="240"/>
        <w:rPr>
          <w:rFonts w:cs="Arial"/>
          <w:b/>
          <w:color w:val="000000"/>
        </w:rPr>
      </w:pPr>
      <w:r w:rsidRPr="00304FE4">
        <w:rPr>
          <w:rFonts w:cs="Arial"/>
          <w:b/>
          <w:color w:val="000000"/>
        </w:rPr>
        <w:t>4.1</w:t>
      </w:r>
      <w:r w:rsidR="00A44957">
        <w:rPr>
          <w:rFonts w:cs="Arial"/>
          <w:b/>
          <w:color w:val="000000"/>
        </w:rPr>
        <w:t>4</w:t>
      </w:r>
      <w:r w:rsidRPr="00304FE4">
        <w:rPr>
          <w:rFonts w:cs="Arial"/>
          <w:b/>
          <w:color w:val="000000"/>
        </w:rPr>
        <w:tab/>
      </w:r>
      <w:r w:rsidR="00F1353C" w:rsidRPr="00304FE4">
        <w:rPr>
          <w:rFonts w:cs="Arial"/>
          <w:b/>
          <w:color w:val="000000"/>
        </w:rPr>
        <w:t>Clasificación de los activos y pasivos entre corrientes y no corrientes</w:t>
      </w:r>
    </w:p>
    <w:p w14:paraId="0ECEB7A8" w14:textId="77777777" w:rsidR="00F1353C" w:rsidRPr="00304FE4" w:rsidRDefault="00F1353C" w:rsidP="00C34824">
      <w:pPr>
        <w:widowControl w:val="0"/>
        <w:autoSpaceDE w:val="0"/>
        <w:autoSpaceDN w:val="0"/>
        <w:adjustRightInd w:val="0"/>
        <w:spacing w:before="240"/>
        <w:rPr>
          <w:rFonts w:cs="Arial"/>
          <w:color w:val="000000"/>
        </w:rPr>
      </w:pPr>
      <w:r w:rsidRPr="00304FE4">
        <w:rPr>
          <w:rFonts w:cs="Arial"/>
          <w:color w:val="000000"/>
        </w:rPr>
        <w:t xml:space="preserve">Los activos y pasivos se presentan en el balance clasificados entre corrientes y no corrientes. A estos efectos, los activos y pasivos se clasifican como corrientes cuando están vinculados al </w:t>
      </w:r>
      <w:r w:rsidR="00B25997" w:rsidRPr="00304FE4">
        <w:rPr>
          <w:rFonts w:cs="Arial"/>
          <w:color w:val="000000"/>
        </w:rPr>
        <w:t>ciclo</w:t>
      </w:r>
      <w:r w:rsidRPr="00304FE4">
        <w:rPr>
          <w:rFonts w:cs="Arial"/>
          <w:color w:val="000000"/>
        </w:rPr>
        <w:t xml:space="preserve"> normal de explotación de la Sociedad y se esperan vender, consumir, realizar o liquidar en el transcurso del mismo; son diferentes a los anteriores y su vencimiento, enajenación o realización se espera que se produzca en el plazo máximo de un año; se mantienen con fines de negociación o se trata de efectivo y otros activos </w:t>
      </w:r>
      <w:r w:rsidR="004B2B76" w:rsidRPr="00304FE4">
        <w:rPr>
          <w:rFonts w:cs="Arial"/>
          <w:color w:val="000000"/>
        </w:rPr>
        <w:t>líquidos</w:t>
      </w:r>
      <w:r w:rsidRPr="00304FE4">
        <w:rPr>
          <w:rFonts w:cs="Arial"/>
          <w:color w:val="000000"/>
        </w:rPr>
        <w:t xml:space="preserve"> equivalentes cuya utilización no está restringida por un periodo superior a un año.</w:t>
      </w:r>
    </w:p>
    <w:p w14:paraId="2B687343" w14:textId="77777777" w:rsidR="00F1353C" w:rsidRDefault="00F1353C" w:rsidP="00C34824">
      <w:pPr>
        <w:widowControl w:val="0"/>
        <w:autoSpaceDE w:val="0"/>
        <w:autoSpaceDN w:val="0"/>
        <w:adjustRightInd w:val="0"/>
        <w:spacing w:before="240"/>
        <w:rPr>
          <w:rFonts w:cs="Arial"/>
          <w:color w:val="000000"/>
        </w:rPr>
      </w:pPr>
      <w:r w:rsidRPr="00304FE4">
        <w:rPr>
          <w:rFonts w:cs="Arial"/>
          <w:color w:val="000000"/>
        </w:rPr>
        <w:t xml:space="preserve">El ciclo normal de explotación es </w:t>
      </w:r>
      <w:r w:rsidR="00B25997" w:rsidRPr="00304FE4">
        <w:rPr>
          <w:rFonts w:cs="Arial"/>
          <w:color w:val="000000"/>
        </w:rPr>
        <w:t>inferior a</w:t>
      </w:r>
      <w:r w:rsidRPr="00304FE4">
        <w:rPr>
          <w:rFonts w:cs="Arial"/>
          <w:color w:val="000000"/>
        </w:rPr>
        <w:t xml:space="preserve"> un año para todas las actividades</w:t>
      </w:r>
      <w:r w:rsidR="00471FA5" w:rsidRPr="00304FE4">
        <w:rPr>
          <w:rFonts w:cs="Arial"/>
          <w:color w:val="000000"/>
        </w:rPr>
        <w:t>.</w:t>
      </w:r>
    </w:p>
    <w:p w14:paraId="53827F49" w14:textId="20A4BECC" w:rsidR="00F1353C" w:rsidRPr="00304FE4" w:rsidRDefault="00345D55" w:rsidP="00345D55">
      <w:pPr>
        <w:spacing w:before="240"/>
        <w:rPr>
          <w:rFonts w:cs="Arial"/>
          <w:b/>
          <w:color w:val="000000"/>
        </w:rPr>
      </w:pPr>
      <w:r w:rsidRPr="00304FE4">
        <w:rPr>
          <w:rFonts w:cs="Arial"/>
          <w:b/>
          <w:color w:val="000000"/>
        </w:rPr>
        <w:t>4.1</w:t>
      </w:r>
      <w:r w:rsidR="00A44957">
        <w:rPr>
          <w:rFonts w:cs="Arial"/>
          <w:b/>
          <w:color w:val="000000"/>
        </w:rPr>
        <w:t>5</w:t>
      </w:r>
      <w:r w:rsidRPr="00304FE4">
        <w:rPr>
          <w:rFonts w:cs="Arial"/>
          <w:b/>
          <w:color w:val="000000"/>
        </w:rPr>
        <w:tab/>
      </w:r>
      <w:r w:rsidR="00F1353C" w:rsidRPr="00304FE4">
        <w:rPr>
          <w:rFonts w:cs="Arial"/>
          <w:b/>
          <w:color w:val="000000"/>
        </w:rPr>
        <w:t>Ingresos y gastos</w:t>
      </w:r>
    </w:p>
    <w:p w14:paraId="144262CF" w14:textId="77777777" w:rsidR="00D8035B" w:rsidRPr="00D8035B" w:rsidRDefault="00D8035B" w:rsidP="00D8035B">
      <w:pPr>
        <w:spacing w:before="240"/>
        <w:rPr>
          <w:rFonts w:cs="Arial"/>
          <w:lang w:val="es-ES"/>
        </w:rPr>
      </w:pPr>
      <w:r w:rsidRPr="00D8035B">
        <w:rPr>
          <w:rFonts w:cs="Arial"/>
          <w:lang w:val="es-ES"/>
        </w:rPr>
        <w:t xml:space="preserve">Los ingresos derivados de los contratos con clientes deben reconocerse en función del cumplimiento de las obligaciones de desempeño ante los clientes. </w:t>
      </w:r>
    </w:p>
    <w:p w14:paraId="51D55E23" w14:textId="77777777" w:rsidR="00D8035B" w:rsidRPr="00D8035B" w:rsidRDefault="00D8035B" w:rsidP="00D8035B">
      <w:pPr>
        <w:spacing w:before="240"/>
        <w:rPr>
          <w:rFonts w:cs="Arial"/>
          <w:lang w:val="es-ES"/>
        </w:rPr>
      </w:pPr>
      <w:r w:rsidRPr="00D8035B">
        <w:rPr>
          <w:rFonts w:cs="Arial"/>
          <w:lang w:val="es-ES"/>
        </w:rPr>
        <w:t xml:space="preserve">Los ingresos ordinarios representan la transferencia de bienes o servicios comprometidos a los clientes por un importe que refleje la contraprestación que la Sociedad espera tener derecho a cambio de dichos bienes y servicios. </w:t>
      </w:r>
    </w:p>
    <w:p w14:paraId="018954BD" w14:textId="77777777" w:rsidR="00D8035B" w:rsidRPr="00D8035B" w:rsidRDefault="00D8035B" w:rsidP="00D8035B">
      <w:pPr>
        <w:spacing w:before="240"/>
        <w:rPr>
          <w:rFonts w:cs="Arial"/>
          <w:lang w:val="es-ES"/>
        </w:rPr>
      </w:pPr>
      <w:r w:rsidRPr="00D8035B">
        <w:rPr>
          <w:rFonts w:cs="Arial"/>
          <w:lang w:val="es-ES"/>
        </w:rPr>
        <w:t xml:space="preserve">Se establecen cinco pasos para el reconocimiento de los ingresos: </w:t>
      </w:r>
    </w:p>
    <w:p w14:paraId="0C8478FB" w14:textId="77777777" w:rsidR="00D8035B" w:rsidRPr="00D8035B" w:rsidRDefault="00D8035B" w:rsidP="00F73DB7">
      <w:pPr>
        <w:spacing w:before="240"/>
        <w:ind w:left="284"/>
        <w:rPr>
          <w:rFonts w:cs="Arial"/>
          <w:lang w:val="es-ES"/>
        </w:rPr>
      </w:pPr>
      <w:r w:rsidRPr="00D8035B">
        <w:rPr>
          <w:rFonts w:cs="Arial"/>
          <w:lang w:val="es-ES"/>
        </w:rPr>
        <w:t xml:space="preserve">1. Identificar el/los contratos del cliente. </w:t>
      </w:r>
    </w:p>
    <w:p w14:paraId="5121F001" w14:textId="77777777" w:rsidR="00D8035B" w:rsidRPr="00D8035B" w:rsidRDefault="00D8035B" w:rsidP="00F73DB7">
      <w:pPr>
        <w:spacing w:before="240"/>
        <w:ind w:left="284"/>
        <w:rPr>
          <w:rFonts w:cs="Arial"/>
          <w:lang w:val="es-ES"/>
        </w:rPr>
      </w:pPr>
      <w:r w:rsidRPr="00D8035B">
        <w:rPr>
          <w:rFonts w:cs="Arial"/>
          <w:lang w:val="es-ES"/>
        </w:rPr>
        <w:t xml:space="preserve">2. Identificar las obligaciones de desempeño. </w:t>
      </w:r>
    </w:p>
    <w:p w14:paraId="1E012BE5" w14:textId="77777777" w:rsidR="00D8035B" w:rsidRPr="00D8035B" w:rsidRDefault="00D8035B" w:rsidP="00F73DB7">
      <w:pPr>
        <w:spacing w:before="240"/>
        <w:ind w:left="284"/>
        <w:rPr>
          <w:rFonts w:cs="Arial"/>
          <w:lang w:val="es-ES"/>
        </w:rPr>
      </w:pPr>
      <w:r w:rsidRPr="00D8035B">
        <w:rPr>
          <w:rFonts w:cs="Arial"/>
          <w:lang w:val="es-ES"/>
        </w:rPr>
        <w:t xml:space="preserve">3. Determinar del precio de la transacción. </w:t>
      </w:r>
    </w:p>
    <w:p w14:paraId="2DFDC3F6" w14:textId="77777777" w:rsidR="00D8035B" w:rsidRPr="00D8035B" w:rsidRDefault="00D8035B" w:rsidP="00F73DB7">
      <w:pPr>
        <w:spacing w:before="240"/>
        <w:ind w:left="284"/>
        <w:rPr>
          <w:rFonts w:cs="Arial"/>
          <w:lang w:val="es-ES"/>
        </w:rPr>
      </w:pPr>
      <w:r w:rsidRPr="00D8035B">
        <w:rPr>
          <w:rFonts w:cs="Arial"/>
          <w:lang w:val="es-ES"/>
        </w:rPr>
        <w:t xml:space="preserve">4. Asignación del precio de la transacción a las distintas obligaciones de desempeño. </w:t>
      </w:r>
    </w:p>
    <w:p w14:paraId="7B53910D" w14:textId="77777777" w:rsidR="00D8035B" w:rsidRPr="00D8035B" w:rsidRDefault="00D8035B" w:rsidP="00F73DB7">
      <w:pPr>
        <w:spacing w:before="240"/>
        <w:ind w:left="284"/>
        <w:rPr>
          <w:rFonts w:cs="Arial"/>
          <w:lang w:val="es-ES"/>
        </w:rPr>
      </w:pPr>
      <w:r w:rsidRPr="00D8035B">
        <w:rPr>
          <w:rFonts w:cs="Arial"/>
          <w:lang w:val="es-ES"/>
        </w:rPr>
        <w:t xml:space="preserve">5. Reconocimiento de ingresos según el cumplimiento de cada obligación. </w:t>
      </w:r>
    </w:p>
    <w:p w14:paraId="5B6B0D55" w14:textId="77777777" w:rsidR="00D8035B" w:rsidRPr="00D8035B" w:rsidRDefault="00D8035B" w:rsidP="00D8035B">
      <w:pPr>
        <w:spacing w:before="240"/>
        <w:rPr>
          <w:rFonts w:cs="Arial"/>
          <w:lang w:val="es-ES"/>
        </w:rPr>
      </w:pPr>
      <w:r w:rsidRPr="00D8035B">
        <w:rPr>
          <w:rFonts w:cs="Arial"/>
          <w:lang w:val="es-ES"/>
        </w:rPr>
        <w:t xml:space="preserve">En base a ese modelo de reconocimiento, las ventas de bienes se reconocen cuando los productos han sido entregados al cliente y el cliente los ha aceptado, aunque no se hayan facturado, o, en caso aplicable, los servicios han sido prestados y la cobrabilidad de las correspondientes cuentas a cobrar está razonablemente asegurada. </w:t>
      </w:r>
    </w:p>
    <w:p w14:paraId="53F403C3" w14:textId="75C93E8F" w:rsidR="00D8035B" w:rsidRDefault="00D8035B" w:rsidP="00D8035B">
      <w:pPr>
        <w:spacing w:before="240"/>
        <w:rPr>
          <w:rFonts w:cs="Arial"/>
          <w:lang w:val="es-ES"/>
        </w:rPr>
      </w:pPr>
      <w:r w:rsidRPr="00D8035B">
        <w:rPr>
          <w:rFonts w:cs="Arial"/>
          <w:lang w:val="es-ES"/>
        </w:rPr>
        <w:t>Los gastos se reconocen atendiendo a su devengo, de forma inmediata en el supuesto de desembolsos que no vayan a generar beneficios económicos futuros o cuando no cumplen los requisitos necesarios para registrarlos contablemente como activo.</w:t>
      </w:r>
    </w:p>
    <w:p w14:paraId="7D8B2DFF" w14:textId="77777777" w:rsidR="00AC751B" w:rsidRDefault="00AC751B" w:rsidP="00D8035B">
      <w:pPr>
        <w:spacing w:before="240"/>
        <w:rPr>
          <w:rFonts w:cs="Arial"/>
          <w:lang w:val="es-ES"/>
        </w:rPr>
      </w:pPr>
    </w:p>
    <w:p w14:paraId="23C301CE" w14:textId="77777777" w:rsidR="00F1353C" w:rsidRPr="00304FE4" w:rsidRDefault="00F1353C" w:rsidP="00F1353C">
      <w:pPr>
        <w:spacing w:before="240"/>
        <w:rPr>
          <w:rFonts w:cs="Arial"/>
          <w:i/>
          <w:u w:val="single"/>
        </w:rPr>
      </w:pPr>
      <w:r w:rsidRPr="00304FE4">
        <w:rPr>
          <w:rFonts w:cs="Arial"/>
          <w:i/>
          <w:u w:val="single"/>
        </w:rPr>
        <w:lastRenderedPageBreak/>
        <w:t>Ingresos por ventas y prestaciones de servicios</w:t>
      </w:r>
    </w:p>
    <w:p w14:paraId="0B28FDB4" w14:textId="77777777" w:rsidR="006610D1" w:rsidRPr="00304FE4" w:rsidRDefault="00F1353C" w:rsidP="006610D1">
      <w:pPr>
        <w:widowControl w:val="0"/>
        <w:autoSpaceDE w:val="0"/>
        <w:autoSpaceDN w:val="0"/>
        <w:adjustRightInd w:val="0"/>
        <w:spacing w:before="240"/>
        <w:rPr>
          <w:rFonts w:cs="Arial"/>
          <w:color w:val="000000"/>
        </w:rPr>
      </w:pPr>
      <w:r w:rsidRPr="00304FE4">
        <w:rPr>
          <w:rFonts w:cs="Arial"/>
          <w:color w:val="000000"/>
        </w:rPr>
        <w:t>Los ingresos se reconocen cuando es probable que la Sociedad reciba los beneficios o rendimientos económicos derivados de la transacción y el importe de los ingresos y de los costes incurridos o a incurrir pueden valorarse con fiabilidad. Los ingresos se valoran al valor razonable de la contrapartida recibida o por recibir, deduciendo los descuentos, rebajas en el precio y otras partidas similares que la Sociedad pueda conceder, así como, en su caso, los intereses incorporados al nominal de los créditos. Los impuestos indirectos que gravan las operaciones y que son repercutibles a terceros no forman parte de los ingresos.</w:t>
      </w:r>
    </w:p>
    <w:p w14:paraId="3E9988E7" w14:textId="77777777" w:rsidR="006610D1" w:rsidRPr="00304FE4" w:rsidRDefault="006610D1" w:rsidP="006610D1">
      <w:pPr>
        <w:widowControl w:val="0"/>
        <w:autoSpaceDE w:val="0"/>
        <w:autoSpaceDN w:val="0"/>
        <w:adjustRightInd w:val="0"/>
        <w:spacing w:before="240"/>
        <w:rPr>
          <w:rFonts w:cs="Arial"/>
          <w:color w:val="000000"/>
        </w:rPr>
      </w:pPr>
      <w:r w:rsidRPr="00304FE4">
        <w:rPr>
          <w:rFonts w:cs="Arial"/>
          <w:color w:val="000000"/>
        </w:rPr>
        <w:t>Los descuentos posteriores a la emisión o recepción, en su caso, de la factura originados por defectos de calidad, incumplimiento de plazos de entrega u otras causas análogas, así como los descuentos por volumen, se registran diferenciadamente de los importes de las ventas o compras de bienes e ingresos o gastos por servicios,</w:t>
      </w:r>
      <w:r w:rsidRPr="00304FE4">
        <w:t xml:space="preserve"> respectivamente.</w:t>
      </w:r>
    </w:p>
    <w:p w14:paraId="2325EDB2" w14:textId="77777777" w:rsidR="00556991" w:rsidRPr="00304FE4" w:rsidRDefault="00F1353C" w:rsidP="003F2BC0">
      <w:pPr>
        <w:widowControl w:val="0"/>
        <w:autoSpaceDE w:val="0"/>
        <w:autoSpaceDN w:val="0"/>
        <w:adjustRightInd w:val="0"/>
        <w:spacing w:before="240"/>
        <w:rPr>
          <w:rFonts w:cs="Arial"/>
          <w:color w:val="000000"/>
        </w:rPr>
      </w:pPr>
      <w:r w:rsidRPr="00304FE4">
        <w:rPr>
          <w:rFonts w:cs="Arial"/>
          <w:color w:val="000000"/>
        </w:rPr>
        <w:t>Adicionalmente,</w:t>
      </w:r>
      <w:r w:rsidR="003F2BC0" w:rsidRPr="00304FE4">
        <w:rPr>
          <w:rFonts w:cs="Arial"/>
          <w:color w:val="000000"/>
        </w:rPr>
        <w:t xml:space="preserve"> </w:t>
      </w:r>
      <w:r w:rsidR="003F2BC0" w:rsidRPr="00304FE4">
        <w:rPr>
          <w:rFonts w:cs="Arial"/>
        </w:rPr>
        <w:t>l</w:t>
      </w:r>
      <w:r w:rsidRPr="00304FE4">
        <w:rPr>
          <w:rFonts w:cs="Arial"/>
        </w:rPr>
        <w:t>os ingresos po</w:t>
      </w:r>
      <w:r w:rsidR="003F2BC0" w:rsidRPr="00304FE4">
        <w:rPr>
          <w:rFonts w:cs="Arial"/>
        </w:rPr>
        <w:t xml:space="preserve">r ejecución de </w:t>
      </w:r>
      <w:r w:rsidR="00AE6205">
        <w:rPr>
          <w:rFonts w:cs="Arial"/>
        </w:rPr>
        <w:t xml:space="preserve">encomiendas se </w:t>
      </w:r>
      <w:r w:rsidRPr="00304FE4">
        <w:rPr>
          <w:rFonts w:cs="Arial"/>
          <w:color w:val="000000"/>
        </w:rPr>
        <w:t xml:space="preserve">reconocen </w:t>
      </w:r>
      <w:r w:rsidR="005618B9">
        <w:rPr>
          <w:rFonts w:cs="Arial"/>
          <w:color w:val="000000"/>
        </w:rPr>
        <w:t>por</w:t>
      </w:r>
      <w:r w:rsidR="00C33220">
        <w:rPr>
          <w:rFonts w:cs="Arial"/>
          <w:color w:val="000000"/>
        </w:rPr>
        <w:t xml:space="preserve"> </w:t>
      </w:r>
      <w:r w:rsidR="005618B9">
        <w:rPr>
          <w:rFonts w:cs="Arial"/>
          <w:color w:val="000000"/>
        </w:rPr>
        <w:t>la cuantía de los gastos ejecutados</w:t>
      </w:r>
      <w:r w:rsidR="00192AB8">
        <w:rPr>
          <w:rFonts w:cs="Arial"/>
          <w:color w:val="000000"/>
        </w:rPr>
        <w:t xml:space="preserve"> </w:t>
      </w:r>
      <w:r w:rsidR="005618B9">
        <w:rPr>
          <w:rFonts w:cs="Arial"/>
          <w:color w:val="000000"/>
        </w:rPr>
        <w:t xml:space="preserve">(tanto directos como indirectos), con el límite de la </w:t>
      </w:r>
      <w:r w:rsidR="00A658F0">
        <w:rPr>
          <w:rFonts w:cs="Arial"/>
          <w:color w:val="000000"/>
        </w:rPr>
        <w:t>cuantía</w:t>
      </w:r>
      <w:r w:rsidR="005618B9">
        <w:rPr>
          <w:rFonts w:cs="Arial"/>
          <w:color w:val="000000"/>
        </w:rPr>
        <w:t xml:space="preserve"> aprobada anualmente en la orden de encomienda</w:t>
      </w:r>
      <w:r w:rsidR="00192AB8" w:rsidRPr="00C33220">
        <w:rPr>
          <w:rFonts w:cs="Arial"/>
          <w:color w:val="000000"/>
        </w:rPr>
        <w:t>. La Sociedad factura mensualmente los gastos incurridos sin aplicar margen alguno</w:t>
      </w:r>
      <w:r w:rsidR="00C33220" w:rsidRPr="00C33220">
        <w:rPr>
          <w:rFonts w:cs="Arial"/>
          <w:color w:val="000000"/>
        </w:rPr>
        <w:t>,</w:t>
      </w:r>
      <w:r w:rsidR="00192AB8" w:rsidRPr="00C33220">
        <w:rPr>
          <w:rFonts w:cs="Arial"/>
          <w:color w:val="000000"/>
        </w:rPr>
        <w:t xml:space="preserve"> al tratarse de servicios de interés público encomendados por el Gobierno de Canarias</w:t>
      </w:r>
      <w:r w:rsidR="00C33220" w:rsidRPr="00C33220">
        <w:rPr>
          <w:rFonts w:cs="Arial"/>
          <w:color w:val="000000"/>
        </w:rPr>
        <w:t>, así como los trabajos realizados por el personal de la Sociedad según la tarifa aprobada, calculada para cubrir sus costes directos e indirectos</w:t>
      </w:r>
      <w:r w:rsidR="00192AB8" w:rsidRPr="00C33220">
        <w:rPr>
          <w:rFonts w:cs="Arial"/>
          <w:color w:val="000000"/>
        </w:rPr>
        <w:t>.</w:t>
      </w:r>
    </w:p>
    <w:p w14:paraId="011C8F19" w14:textId="77777777" w:rsidR="00881C1D" w:rsidRPr="00304FE4" w:rsidRDefault="00881C1D" w:rsidP="00881C1D">
      <w:pPr>
        <w:spacing w:before="240"/>
        <w:rPr>
          <w:rFonts w:cs="Arial"/>
          <w:i/>
          <w:u w:val="single"/>
        </w:rPr>
      </w:pPr>
      <w:r w:rsidRPr="00304FE4">
        <w:rPr>
          <w:rFonts w:cs="Arial"/>
          <w:i/>
          <w:u w:val="single"/>
        </w:rPr>
        <w:t>Compras de mercaderías</w:t>
      </w:r>
    </w:p>
    <w:p w14:paraId="3FAA65DC" w14:textId="77777777" w:rsidR="00881C1D" w:rsidRPr="00304FE4" w:rsidRDefault="00881C1D" w:rsidP="00881C1D">
      <w:pPr>
        <w:rPr>
          <w:rFonts w:cs="Arial"/>
        </w:rPr>
      </w:pPr>
    </w:p>
    <w:p w14:paraId="0712701C" w14:textId="77777777" w:rsidR="00881C1D" w:rsidRPr="00304FE4" w:rsidRDefault="00881C1D" w:rsidP="00881C1D">
      <w:pPr>
        <w:rPr>
          <w:rFonts w:cs="Arial"/>
        </w:rPr>
      </w:pPr>
      <w:r w:rsidRPr="00304FE4">
        <w:rPr>
          <w:rFonts w:cs="Arial"/>
        </w:rPr>
        <w:t>La compra de mercaderías y demás bienes para revenderlos, se han tenido en cuenta las siguientes reglas:</w:t>
      </w:r>
    </w:p>
    <w:p w14:paraId="6963902D" w14:textId="77777777" w:rsidR="00881C1D" w:rsidRPr="00304FE4" w:rsidRDefault="00881C1D" w:rsidP="00881C1D">
      <w:pPr>
        <w:rPr>
          <w:rFonts w:cs="Arial"/>
        </w:rPr>
      </w:pPr>
    </w:p>
    <w:p w14:paraId="2B9EFC6B" w14:textId="77777777" w:rsidR="00881C1D" w:rsidRPr="00304FE4" w:rsidRDefault="00881C1D" w:rsidP="00881C1D">
      <w:pPr>
        <w:ind w:left="567"/>
        <w:rPr>
          <w:rFonts w:cs="Arial"/>
        </w:rPr>
      </w:pPr>
      <w:r w:rsidRPr="00304FE4">
        <w:rPr>
          <w:rFonts w:cs="Arial"/>
        </w:rPr>
        <w:t>1.- Los gastos de las compras, incluidos los transportes y los impuestos que recaigan sobre las adquisiciones, con exclusión de los impuestos indirectos deducibles, se cargan en la respectiva cuenta del subgrupo 60.</w:t>
      </w:r>
    </w:p>
    <w:p w14:paraId="0D466832" w14:textId="77777777" w:rsidR="00881C1D" w:rsidRPr="00304FE4" w:rsidRDefault="00881C1D" w:rsidP="00881C1D">
      <w:pPr>
        <w:ind w:left="567"/>
        <w:rPr>
          <w:rFonts w:cs="Arial"/>
        </w:rPr>
      </w:pPr>
    </w:p>
    <w:p w14:paraId="6117F90A" w14:textId="77777777" w:rsidR="00881C1D" w:rsidRPr="00304FE4" w:rsidRDefault="00881C1D" w:rsidP="00881C1D">
      <w:pPr>
        <w:ind w:left="567"/>
        <w:rPr>
          <w:rFonts w:cs="Arial"/>
        </w:rPr>
      </w:pPr>
      <w:r w:rsidRPr="00304FE4">
        <w:rPr>
          <w:rFonts w:cs="Arial"/>
        </w:rPr>
        <w:t>2.- Los descuentos y similares que le son concedidos a la empresa, incluidos o no en factura, que no obedezcan a pronto pago, se consideran como menor importe de la compra.</w:t>
      </w:r>
    </w:p>
    <w:p w14:paraId="6FB9DB48" w14:textId="77777777" w:rsidR="00881C1D" w:rsidRPr="00304FE4" w:rsidRDefault="00881C1D" w:rsidP="00881C1D">
      <w:pPr>
        <w:ind w:left="567"/>
        <w:rPr>
          <w:rFonts w:cs="Arial"/>
        </w:rPr>
      </w:pPr>
    </w:p>
    <w:p w14:paraId="481E5384" w14:textId="77777777" w:rsidR="00881C1D" w:rsidRPr="00304FE4" w:rsidRDefault="00881C1D" w:rsidP="00881C1D">
      <w:pPr>
        <w:ind w:left="567"/>
        <w:rPr>
          <w:rFonts w:cs="Arial"/>
        </w:rPr>
      </w:pPr>
      <w:r w:rsidRPr="00304FE4">
        <w:rPr>
          <w:rFonts w:cs="Arial"/>
        </w:rPr>
        <w:t>3.- Los descuentos y similares que le son concedidos a la empresa por pronto pago, incluidos o no en factura, se consideran ingresos financieros, contabilizándose en la cuenta Descuentos sobre compras por pronto pago.</w:t>
      </w:r>
    </w:p>
    <w:p w14:paraId="4E76BA41" w14:textId="77777777" w:rsidR="00881C1D" w:rsidRPr="00304FE4" w:rsidRDefault="00881C1D" w:rsidP="00881C1D">
      <w:pPr>
        <w:ind w:left="567"/>
        <w:rPr>
          <w:rFonts w:cs="Arial"/>
        </w:rPr>
      </w:pPr>
    </w:p>
    <w:p w14:paraId="3BD43E82" w14:textId="77777777" w:rsidR="00881C1D" w:rsidRPr="00304FE4" w:rsidRDefault="00881C1D" w:rsidP="00881C1D">
      <w:pPr>
        <w:ind w:left="567"/>
        <w:rPr>
          <w:rFonts w:cs="Arial"/>
        </w:rPr>
      </w:pPr>
      <w:r w:rsidRPr="00304FE4">
        <w:rPr>
          <w:rFonts w:cs="Arial"/>
        </w:rPr>
        <w:t>4.- Los descuentos y similares que se basan en haber alcanzado un determinado volumen de pedidos, se contabilizan en la cuenta Rappels por compras.</w:t>
      </w:r>
    </w:p>
    <w:p w14:paraId="586ED479" w14:textId="77777777" w:rsidR="00881C1D" w:rsidRPr="00304FE4" w:rsidRDefault="00881C1D" w:rsidP="00881C1D">
      <w:pPr>
        <w:ind w:left="567"/>
        <w:rPr>
          <w:rFonts w:cs="Arial"/>
        </w:rPr>
      </w:pPr>
    </w:p>
    <w:p w14:paraId="2ED9F83B" w14:textId="77777777" w:rsidR="00881C1D" w:rsidRPr="00304FE4" w:rsidRDefault="00881C1D" w:rsidP="00881C1D">
      <w:pPr>
        <w:ind w:left="567"/>
        <w:rPr>
          <w:rFonts w:cs="Arial"/>
        </w:rPr>
      </w:pPr>
      <w:r w:rsidRPr="00304FE4">
        <w:rPr>
          <w:rFonts w:cs="Arial"/>
        </w:rPr>
        <w:t>5.- Los descuentos y similares posteriores a la recepción de la factura originados por defectos de calidad, incumplimiento de los plazos de entrega y otras causas análogas, se contabilizarán en la cuenta Devoluciones de compras.</w:t>
      </w:r>
    </w:p>
    <w:p w14:paraId="7B14B3D7" w14:textId="77777777" w:rsidR="00881C1D" w:rsidRPr="00304FE4" w:rsidRDefault="00881C1D" w:rsidP="00881C1D">
      <w:pPr>
        <w:ind w:left="567"/>
        <w:rPr>
          <w:rFonts w:cs="Arial"/>
        </w:rPr>
      </w:pPr>
    </w:p>
    <w:p w14:paraId="64443916" w14:textId="77777777" w:rsidR="00881C1D" w:rsidRDefault="00881C1D" w:rsidP="00881C1D">
      <w:pPr>
        <w:ind w:left="567"/>
        <w:rPr>
          <w:rFonts w:cs="Arial"/>
        </w:rPr>
      </w:pPr>
      <w:r w:rsidRPr="00304FE4">
        <w:rPr>
          <w:rFonts w:cs="Arial"/>
        </w:rPr>
        <w:t>6.- La contabilización de los envases cargados en facturas por los proveedores, con facultad de su devolución, si los hubiera, queda expuesta en la cuenta Envases y embalajes a devolver a proveedores.</w:t>
      </w:r>
    </w:p>
    <w:p w14:paraId="284EF61B" w14:textId="77777777" w:rsidR="00E90BD6" w:rsidRDefault="00E90BD6" w:rsidP="00881C1D">
      <w:pPr>
        <w:ind w:left="567"/>
        <w:rPr>
          <w:rFonts w:cs="Arial"/>
        </w:rPr>
      </w:pPr>
    </w:p>
    <w:p w14:paraId="6C95C3DA" w14:textId="3E0FD7C6" w:rsidR="00352ED5" w:rsidRPr="00304FE4" w:rsidRDefault="00995FA4" w:rsidP="00995FA4">
      <w:pPr>
        <w:tabs>
          <w:tab w:val="num" w:pos="720"/>
        </w:tabs>
        <w:jc w:val="left"/>
        <w:rPr>
          <w:rFonts w:cs="Arial"/>
          <w:b/>
          <w:color w:val="000000"/>
        </w:rPr>
      </w:pPr>
      <w:r w:rsidRPr="00304FE4">
        <w:rPr>
          <w:rFonts w:cs="Arial"/>
          <w:b/>
          <w:color w:val="000000"/>
        </w:rPr>
        <w:t>4.1</w:t>
      </w:r>
      <w:r w:rsidR="00A44957">
        <w:rPr>
          <w:rFonts w:cs="Arial"/>
          <w:b/>
          <w:color w:val="000000"/>
        </w:rPr>
        <w:t>6</w:t>
      </w:r>
      <w:r w:rsidRPr="00304FE4">
        <w:rPr>
          <w:rFonts w:cs="Arial"/>
          <w:b/>
          <w:color w:val="000000"/>
        </w:rPr>
        <w:tab/>
      </w:r>
      <w:r w:rsidR="00250DC0">
        <w:rPr>
          <w:rFonts w:cs="Arial"/>
          <w:b/>
          <w:color w:val="000000"/>
        </w:rPr>
        <w:t>Transacc</w:t>
      </w:r>
      <w:r w:rsidR="00352ED5" w:rsidRPr="00304FE4">
        <w:rPr>
          <w:rFonts w:cs="Arial"/>
          <w:b/>
          <w:color w:val="000000"/>
        </w:rPr>
        <w:t>iones con partes vinculadas</w:t>
      </w:r>
    </w:p>
    <w:p w14:paraId="488763E7" w14:textId="77777777" w:rsidR="001D12CE" w:rsidRPr="00304FE4" w:rsidRDefault="00352ED5" w:rsidP="001D12CE">
      <w:pPr>
        <w:spacing w:before="240"/>
        <w:rPr>
          <w:rFonts w:cs="Arial"/>
        </w:rPr>
      </w:pPr>
      <w:r w:rsidRPr="00304FE4">
        <w:rPr>
          <w:rFonts w:cs="Arial"/>
        </w:rPr>
        <w:t>Las transacciones con partes vinculadas se contabilizan de acuer</w:t>
      </w:r>
      <w:r w:rsidR="00FD3677" w:rsidRPr="00304FE4">
        <w:rPr>
          <w:rFonts w:cs="Arial"/>
        </w:rPr>
        <w:t>do con las normas de valoración detalladas anteriormente.</w:t>
      </w:r>
      <w:r w:rsidR="001D12CE" w:rsidRPr="00304FE4">
        <w:rPr>
          <w:rFonts w:cs="Arial"/>
        </w:rPr>
        <w:t xml:space="preserve"> </w:t>
      </w:r>
    </w:p>
    <w:p w14:paraId="0D10695E" w14:textId="77777777" w:rsidR="00E5009D" w:rsidRDefault="001D12CE" w:rsidP="001D12CE">
      <w:pPr>
        <w:spacing w:before="240"/>
        <w:rPr>
          <w:rFonts w:cs="Arial"/>
        </w:rPr>
      </w:pPr>
      <w:r w:rsidRPr="00304FE4">
        <w:rPr>
          <w:rFonts w:cs="Arial"/>
        </w:rPr>
        <w:t>Los precios de las operaciones realizadas con partes vinculadas se encuentran adecuadamente soportados, por lo que los Administradores de la Sociedad consideran que no existen riesgos que pudieran originar pasivos fiscales significativos.</w:t>
      </w:r>
    </w:p>
    <w:p w14:paraId="49A6E376" w14:textId="18348598" w:rsidR="001D12CE" w:rsidRPr="00304FE4" w:rsidRDefault="001D12CE" w:rsidP="001D12CE">
      <w:pPr>
        <w:spacing w:before="240"/>
        <w:rPr>
          <w:rFonts w:cs="Arial"/>
          <w:b/>
        </w:rPr>
      </w:pPr>
      <w:r w:rsidRPr="00304FE4">
        <w:rPr>
          <w:rFonts w:cs="Arial"/>
          <w:b/>
        </w:rPr>
        <w:lastRenderedPageBreak/>
        <w:t>4.1</w:t>
      </w:r>
      <w:r w:rsidR="00A44957">
        <w:rPr>
          <w:rFonts w:cs="Arial"/>
          <w:b/>
        </w:rPr>
        <w:t>7</w:t>
      </w:r>
      <w:r w:rsidRPr="00304FE4">
        <w:rPr>
          <w:rFonts w:cs="Arial"/>
          <w:b/>
        </w:rPr>
        <w:tab/>
        <w:t>Indemnizaciones por despido</w:t>
      </w:r>
    </w:p>
    <w:p w14:paraId="2270F512" w14:textId="77777777" w:rsidR="001D12CE" w:rsidRDefault="001D12CE" w:rsidP="00143A07">
      <w:pPr>
        <w:spacing w:before="240"/>
        <w:rPr>
          <w:rFonts w:cs="Arial"/>
        </w:rPr>
      </w:pPr>
      <w:r w:rsidRPr="00304FE4">
        <w:rPr>
          <w:rFonts w:cs="Arial"/>
        </w:rPr>
        <w:t xml:space="preserve">De acuerdo con la legislación </w:t>
      </w:r>
      <w:r w:rsidR="00250DC0">
        <w:rPr>
          <w:rFonts w:cs="Arial"/>
        </w:rPr>
        <w:t>laboral</w:t>
      </w:r>
      <w:r w:rsidRPr="00304FE4">
        <w:rPr>
          <w:rFonts w:cs="Arial"/>
        </w:rPr>
        <w:t xml:space="preserve"> vigente, la Sociedad está obligada al pago de indemnizaciones a aquellos empleados con los que, en determinadas condiciones, rescinda sus relaciones laborales. Las indemnizaciones por despido susceptibles de cuantificación razonable se registran como gasto del ejercicio en el que existe una expectativa válida, creada por la Sociedad frente a los terceros afectados. </w:t>
      </w:r>
    </w:p>
    <w:p w14:paraId="627666CA" w14:textId="393AABF2" w:rsidR="00881C1D" w:rsidRPr="00304FE4" w:rsidRDefault="00143A07" w:rsidP="00143A07">
      <w:pPr>
        <w:tabs>
          <w:tab w:val="num" w:pos="720"/>
        </w:tabs>
        <w:spacing w:before="240"/>
        <w:jc w:val="left"/>
        <w:rPr>
          <w:rFonts w:cs="Arial"/>
          <w:b/>
          <w:color w:val="000000"/>
        </w:rPr>
      </w:pPr>
      <w:r w:rsidRPr="00304FE4">
        <w:rPr>
          <w:rFonts w:cs="Arial"/>
          <w:b/>
          <w:color w:val="000000"/>
        </w:rPr>
        <w:t>4.1</w:t>
      </w:r>
      <w:r w:rsidR="00A44957">
        <w:rPr>
          <w:rFonts w:cs="Arial"/>
          <w:b/>
          <w:color w:val="000000"/>
        </w:rPr>
        <w:t>8</w:t>
      </w:r>
      <w:r w:rsidRPr="00304FE4">
        <w:rPr>
          <w:rFonts w:cs="Arial"/>
          <w:b/>
          <w:color w:val="000000"/>
        </w:rPr>
        <w:tab/>
      </w:r>
      <w:r w:rsidR="00881C1D" w:rsidRPr="00304FE4">
        <w:rPr>
          <w:rFonts w:cs="Arial"/>
          <w:b/>
          <w:color w:val="000000"/>
        </w:rPr>
        <w:t>Elementos patrimoniales de naturaleza medioambiental</w:t>
      </w:r>
    </w:p>
    <w:p w14:paraId="73523683" w14:textId="77777777" w:rsidR="006A7278" w:rsidRDefault="00881C1D" w:rsidP="002773AF">
      <w:pPr>
        <w:widowControl w:val="0"/>
        <w:autoSpaceDE w:val="0"/>
        <w:autoSpaceDN w:val="0"/>
        <w:adjustRightInd w:val="0"/>
        <w:spacing w:before="240"/>
        <w:rPr>
          <w:rFonts w:cs="Arial"/>
          <w:color w:val="000000"/>
        </w:rPr>
      </w:pPr>
      <w:r w:rsidRPr="00304FE4">
        <w:rPr>
          <w:rFonts w:cs="Arial"/>
          <w:color w:val="000000"/>
        </w:rPr>
        <w:t>Los gastos derivados del cumplimiento de la legislación medioambiental se registran como gastos del ejercicio en que se producen, salvo que correspondan al coste de compra de elementos que se incorporen al patrimonio de la Sociedad con el objeto de ser utilizados de forma duradera, en cuyo caso se contabilizan en las correspondientes partidas del epígrafe “Inmovilizado material”, siendo amortizados con los mismos criterios.</w:t>
      </w:r>
    </w:p>
    <w:p w14:paraId="7F449418" w14:textId="77777777" w:rsidR="00BA264E" w:rsidRDefault="00BA264E" w:rsidP="002773AF">
      <w:pPr>
        <w:widowControl w:val="0"/>
        <w:autoSpaceDE w:val="0"/>
        <w:autoSpaceDN w:val="0"/>
        <w:adjustRightInd w:val="0"/>
        <w:spacing w:before="240"/>
        <w:rPr>
          <w:rFonts w:cs="Arial"/>
          <w:color w:val="000000"/>
        </w:rPr>
      </w:pPr>
    </w:p>
    <w:p w14:paraId="0894BDDC" w14:textId="2963CD6D" w:rsidR="00352ED5" w:rsidRPr="00593F97" w:rsidRDefault="00345D55" w:rsidP="003157D2">
      <w:pPr>
        <w:widowControl w:val="0"/>
        <w:shd w:val="clear" w:color="auto" w:fill="FFFFFF" w:themeFill="background1"/>
        <w:autoSpaceDE w:val="0"/>
        <w:autoSpaceDN w:val="0"/>
        <w:adjustRightInd w:val="0"/>
        <w:spacing w:before="240"/>
        <w:rPr>
          <w:rFonts w:cs="Arial"/>
          <w:color w:val="000000"/>
        </w:rPr>
      </w:pPr>
      <w:r w:rsidRPr="00593F97">
        <w:rPr>
          <w:rFonts w:cs="Arial"/>
          <w:b/>
        </w:rPr>
        <w:t>5</w:t>
      </w:r>
      <w:r w:rsidR="00640B22" w:rsidRPr="00593F97">
        <w:rPr>
          <w:rFonts w:cs="Arial"/>
          <w:b/>
        </w:rPr>
        <w:t>.</w:t>
      </w:r>
      <w:r w:rsidRPr="00593F97">
        <w:rPr>
          <w:rFonts w:cs="Arial"/>
          <w:b/>
        </w:rPr>
        <w:tab/>
      </w:r>
      <w:r w:rsidR="007279CF" w:rsidRPr="00593F97">
        <w:rPr>
          <w:rFonts w:cs="Arial"/>
          <w:b/>
        </w:rPr>
        <w:t>INMOVILIZADO INTANGIBLE</w:t>
      </w:r>
    </w:p>
    <w:p w14:paraId="4D4462B5" w14:textId="3E9ACD50" w:rsidR="00352ED5" w:rsidRDefault="00352ED5" w:rsidP="00352ED5">
      <w:pPr>
        <w:widowControl w:val="0"/>
        <w:autoSpaceDE w:val="0"/>
        <w:autoSpaceDN w:val="0"/>
        <w:adjustRightInd w:val="0"/>
        <w:spacing w:before="240"/>
        <w:rPr>
          <w:rFonts w:cs="Arial"/>
        </w:rPr>
      </w:pPr>
      <w:r w:rsidRPr="00593F97">
        <w:rPr>
          <w:rFonts w:cs="Arial"/>
        </w:rPr>
        <w:t>El detalle y los movimientos de las distintas partidas que componen el inmovilizado intangible son los siguientes:</w:t>
      </w:r>
    </w:p>
    <w:p w14:paraId="7BD80206" w14:textId="77777777" w:rsidR="00AC751B" w:rsidRDefault="00AC751B" w:rsidP="00352ED5">
      <w:pPr>
        <w:widowControl w:val="0"/>
        <w:autoSpaceDE w:val="0"/>
        <w:autoSpaceDN w:val="0"/>
        <w:adjustRightInd w:val="0"/>
        <w:spacing w:before="240"/>
        <w:rPr>
          <w:rFonts w:cs="Arial"/>
        </w:rPr>
      </w:pPr>
    </w:p>
    <w:p w14:paraId="2F6D2014" w14:textId="0177A146" w:rsidR="00F5726A" w:rsidRDefault="00046A51" w:rsidP="00352ED5">
      <w:pPr>
        <w:widowControl w:val="0"/>
        <w:autoSpaceDE w:val="0"/>
        <w:autoSpaceDN w:val="0"/>
        <w:adjustRightInd w:val="0"/>
        <w:spacing w:before="240"/>
        <w:rPr>
          <w:rFonts w:cs="Arial"/>
        </w:rPr>
      </w:pPr>
      <w:r>
        <w:rPr>
          <w:rFonts w:cs="Arial"/>
          <w:noProof/>
          <w:szCs w:val="20"/>
          <w:lang w:val="es-ES" w:eastAsia="es-ES"/>
        </w:rPr>
        <w:object w:dxaOrig="1440" w:dyaOrig="1440" w14:anchorId="543BFE1C">
          <v:shape id="_x0000_s2088" type="#_x0000_t75" style="position:absolute;left:0;text-align:left;margin-left:50.2pt;margin-top:6.3pt;width:340.65pt;height:386.8pt;z-index:251660288">
            <v:imagedata r:id="rId28" o:title=""/>
          </v:shape>
          <o:OLEObject Type="Embed" ProgID="Excel.Sheet.8" ShapeID="_x0000_s2088" DrawAspect="Content" ObjectID="_1805087300" r:id="rId29"/>
        </w:object>
      </w:r>
    </w:p>
    <w:p w14:paraId="08746853" w14:textId="77777777" w:rsidR="00F5726A" w:rsidRDefault="00F5726A" w:rsidP="002773AF">
      <w:pPr>
        <w:widowControl w:val="0"/>
        <w:autoSpaceDE w:val="0"/>
        <w:autoSpaceDN w:val="0"/>
        <w:adjustRightInd w:val="0"/>
        <w:spacing w:before="240"/>
        <w:jc w:val="center"/>
        <w:rPr>
          <w:rFonts w:cs="Arial"/>
        </w:rPr>
      </w:pPr>
    </w:p>
    <w:p w14:paraId="74D2EF72" w14:textId="77777777" w:rsidR="00F5726A" w:rsidRDefault="00F5726A" w:rsidP="00352ED5">
      <w:pPr>
        <w:widowControl w:val="0"/>
        <w:autoSpaceDE w:val="0"/>
        <w:autoSpaceDN w:val="0"/>
        <w:adjustRightInd w:val="0"/>
        <w:spacing w:before="240"/>
        <w:rPr>
          <w:rFonts w:cs="Arial"/>
        </w:rPr>
      </w:pPr>
    </w:p>
    <w:p w14:paraId="5B38EA90" w14:textId="77777777" w:rsidR="00F5726A" w:rsidRDefault="00F5726A" w:rsidP="00352ED5">
      <w:pPr>
        <w:widowControl w:val="0"/>
        <w:autoSpaceDE w:val="0"/>
        <w:autoSpaceDN w:val="0"/>
        <w:adjustRightInd w:val="0"/>
        <w:spacing w:before="240"/>
        <w:rPr>
          <w:rFonts w:cs="Arial"/>
        </w:rPr>
      </w:pPr>
    </w:p>
    <w:p w14:paraId="318B83C9" w14:textId="77777777" w:rsidR="00F5726A" w:rsidRDefault="00F5726A" w:rsidP="00352ED5">
      <w:pPr>
        <w:widowControl w:val="0"/>
        <w:autoSpaceDE w:val="0"/>
        <w:autoSpaceDN w:val="0"/>
        <w:adjustRightInd w:val="0"/>
        <w:spacing w:before="240"/>
        <w:rPr>
          <w:rFonts w:cs="Arial"/>
        </w:rPr>
      </w:pPr>
    </w:p>
    <w:p w14:paraId="504B77F5" w14:textId="77777777" w:rsidR="00F5726A" w:rsidRDefault="00F5726A" w:rsidP="00352ED5">
      <w:pPr>
        <w:widowControl w:val="0"/>
        <w:autoSpaceDE w:val="0"/>
        <w:autoSpaceDN w:val="0"/>
        <w:adjustRightInd w:val="0"/>
        <w:spacing w:before="240"/>
        <w:rPr>
          <w:rFonts w:cs="Arial"/>
        </w:rPr>
      </w:pPr>
    </w:p>
    <w:p w14:paraId="7A45C5D8" w14:textId="77777777" w:rsidR="00F5726A" w:rsidRDefault="00F5726A" w:rsidP="00352ED5">
      <w:pPr>
        <w:widowControl w:val="0"/>
        <w:autoSpaceDE w:val="0"/>
        <w:autoSpaceDN w:val="0"/>
        <w:adjustRightInd w:val="0"/>
        <w:spacing w:before="240"/>
        <w:rPr>
          <w:rFonts w:cs="Arial"/>
        </w:rPr>
      </w:pPr>
    </w:p>
    <w:p w14:paraId="61C3F97C" w14:textId="77777777" w:rsidR="00F5726A" w:rsidRDefault="00F5726A" w:rsidP="00352ED5">
      <w:pPr>
        <w:widowControl w:val="0"/>
        <w:autoSpaceDE w:val="0"/>
        <w:autoSpaceDN w:val="0"/>
        <w:adjustRightInd w:val="0"/>
        <w:spacing w:before="240"/>
        <w:rPr>
          <w:rFonts w:cs="Arial"/>
        </w:rPr>
      </w:pPr>
    </w:p>
    <w:p w14:paraId="3646FA5E" w14:textId="77777777" w:rsidR="00F5726A" w:rsidRDefault="00F5726A" w:rsidP="00352ED5">
      <w:pPr>
        <w:widowControl w:val="0"/>
        <w:autoSpaceDE w:val="0"/>
        <w:autoSpaceDN w:val="0"/>
        <w:adjustRightInd w:val="0"/>
        <w:spacing w:before="240"/>
        <w:rPr>
          <w:rFonts w:cs="Arial"/>
        </w:rPr>
      </w:pPr>
    </w:p>
    <w:p w14:paraId="5BFFA656" w14:textId="77777777" w:rsidR="00F5726A" w:rsidRDefault="00F5726A" w:rsidP="00352ED5">
      <w:pPr>
        <w:widowControl w:val="0"/>
        <w:autoSpaceDE w:val="0"/>
        <w:autoSpaceDN w:val="0"/>
        <w:adjustRightInd w:val="0"/>
        <w:spacing w:before="240"/>
        <w:rPr>
          <w:rFonts w:cs="Arial"/>
        </w:rPr>
      </w:pPr>
    </w:p>
    <w:p w14:paraId="799D284D" w14:textId="77777777" w:rsidR="00F5726A" w:rsidRDefault="00F5726A" w:rsidP="00352ED5">
      <w:pPr>
        <w:widowControl w:val="0"/>
        <w:autoSpaceDE w:val="0"/>
        <w:autoSpaceDN w:val="0"/>
        <w:adjustRightInd w:val="0"/>
        <w:spacing w:before="240"/>
        <w:rPr>
          <w:rFonts w:cs="Arial"/>
        </w:rPr>
      </w:pPr>
    </w:p>
    <w:p w14:paraId="7B401864" w14:textId="77777777" w:rsidR="00B41441" w:rsidRDefault="00B41441" w:rsidP="00FA08CC">
      <w:pPr>
        <w:widowControl w:val="0"/>
        <w:autoSpaceDE w:val="0"/>
        <w:autoSpaceDN w:val="0"/>
        <w:adjustRightInd w:val="0"/>
        <w:rPr>
          <w:rFonts w:cs="Arial"/>
          <w:b/>
          <w:color w:val="000000"/>
        </w:rPr>
      </w:pPr>
    </w:p>
    <w:p w14:paraId="20B1C9EF" w14:textId="77777777" w:rsidR="003B133E" w:rsidRDefault="003B133E" w:rsidP="00FA08CC">
      <w:pPr>
        <w:widowControl w:val="0"/>
        <w:autoSpaceDE w:val="0"/>
        <w:autoSpaceDN w:val="0"/>
        <w:adjustRightInd w:val="0"/>
        <w:rPr>
          <w:rFonts w:cs="Arial"/>
          <w:b/>
          <w:color w:val="000000"/>
        </w:rPr>
      </w:pPr>
    </w:p>
    <w:p w14:paraId="1848673A" w14:textId="77777777" w:rsidR="003B133E" w:rsidRDefault="003B133E" w:rsidP="00FA08CC">
      <w:pPr>
        <w:widowControl w:val="0"/>
        <w:autoSpaceDE w:val="0"/>
        <w:autoSpaceDN w:val="0"/>
        <w:adjustRightInd w:val="0"/>
        <w:rPr>
          <w:rFonts w:cs="Arial"/>
          <w:b/>
          <w:color w:val="000000"/>
        </w:rPr>
      </w:pPr>
    </w:p>
    <w:p w14:paraId="7E522C21" w14:textId="77777777" w:rsidR="003B133E" w:rsidRDefault="003B133E" w:rsidP="00FA08CC">
      <w:pPr>
        <w:widowControl w:val="0"/>
        <w:autoSpaceDE w:val="0"/>
        <w:autoSpaceDN w:val="0"/>
        <w:adjustRightInd w:val="0"/>
        <w:rPr>
          <w:rFonts w:cs="Arial"/>
          <w:b/>
          <w:color w:val="000000"/>
        </w:rPr>
      </w:pPr>
    </w:p>
    <w:p w14:paraId="46CDA7D3" w14:textId="77777777" w:rsidR="003B133E" w:rsidRDefault="003B133E" w:rsidP="00FA08CC">
      <w:pPr>
        <w:widowControl w:val="0"/>
        <w:autoSpaceDE w:val="0"/>
        <w:autoSpaceDN w:val="0"/>
        <w:adjustRightInd w:val="0"/>
        <w:rPr>
          <w:rFonts w:cs="Arial"/>
          <w:b/>
          <w:color w:val="000000"/>
        </w:rPr>
      </w:pPr>
    </w:p>
    <w:p w14:paraId="191C8779" w14:textId="77777777" w:rsidR="003B133E" w:rsidRDefault="003B133E" w:rsidP="00FA08CC">
      <w:pPr>
        <w:widowControl w:val="0"/>
        <w:autoSpaceDE w:val="0"/>
        <w:autoSpaceDN w:val="0"/>
        <w:adjustRightInd w:val="0"/>
        <w:rPr>
          <w:rFonts w:cs="Arial"/>
          <w:b/>
          <w:color w:val="000000"/>
        </w:rPr>
      </w:pPr>
    </w:p>
    <w:p w14:paraId="08C9F014" w14:textId="77777777" w:rsidR="00BA264E" w:rsidRDefault="00BA264E" w:rsidP="00FA08CC">
      <w:pPr>
        <w:widowControl w:val="0"/>
        <w:autoSpaceDE w:val="0"/>
        <w:autoSpaceDN w:val="0"/>
        <w:adjustRightInd w:val="0"/>
        <w:rPr>
          <w:rFonts w:cs="Arial"/>
          <w:b/>
          <w:color w:val="000000"/>
        </w:rPr>
      </w:pPr>
    </w:p>
    <w:p w14:paraId="53B565C9" w14:textId="77777777" w:rsidR="00BA264E" w:rsidRDefault="00BA264E" w:rsidP="00FA08CC">
      <w:pPr>
        <w:widowControl w:val="0"/>
        <w:autoSpaceDE w:val="0"/>
        <w:autoSpaceDN w:val="0"/>
        <w:adjustRightInd w:val="0"/>
        <w:rPr>
          <w:rFonts w:cs="Arial"/>
          <w:b/>
          <w:color w:val="000000"/>
        </w:rPr>
      </w:pPr>
    </w:p>
    <w:p w14:paraId="0222C9E8" w14:textId="77777777" w:rsidR="00AE489C" w:rsidRDefault="00AE489C" w:rsidP="00FA08CC">
      <w:pPr>
        <w:widowControl w:val="0"/>
        <w:autoSpaceDE w:val="0"/>
        <w:autoSpaceDN w:val="0"/>
        <w:adjustRightInd w:val="0"/>
        <w:rPr>
          <w:rFonts w:cs="Arial"/>
          <w:b/>
          <w:color w:val="000000"/>
        </w:rPr>
      </w:pPr>
    </w:p>
    <w:p w14:paraId="4286A93F" w14:textId="77777777" w:rsidR="00F107FC" w:rsidRDefault="00F107FC" w:rsidP="00FA08CC">
      <w:pPr>
        <w:widowControl w:val="0"/>
        <w:autoSpaceDE w:val="0"/>
        <w:autoSpaceDN w:val="0"/>
        <w:adjustRightInd w:val="0"/>
        <w:rPr>
          <w:rFonts w:cs="Arial"/>
          <w:b/>
          <w:color w:val="000000"/>
        </w:rPr>
      </w:pPr>
    </w:p>
    <w:p w14:paraId="7FD6F791" w14:textId="77777777" w:rsidR="00F107FC" w:rsidRDefault="00F107FC" w:rsidP="00FA08CC">
      <w:pPr>
        <w:widowControl w:val="0"/>
        <w:autoSpaceDE w:val="0"/>
        <w:autoSpaceDN w:val="0"/>
        <w:adjustRightInd w:val="0"/>
        <w:rPr>
          <w:rFonts w:cs="Arial"/>
          <w:b/>
          <w:color w:val="000000"/>
        </w:rPr>
      </w:pPr>
    </w:p>
    <w:p w14:paraId="7871AE2D" w14:textId="77777777" w:rsidR="00F107FC" w:rsidRDefault="00F107FC" w:rsidP="00FA08CC">
      <w:pPr>
        <w:widowControl w:val="0"/>
        <w:autoSpaceDE w:val="0"/>
        <w:autoSpaceDN w:val="0"/>
        <w:adjustRightInd w:val="0"/>
        <w:rPr>
          <w:rFonts w:cs="Arial"/>
          <w:b/>
          <w:color w:val="000000"/>
        </w:rPr>
      </w:pPr>
    </w:p>
    <w:p w14:paraId="64F4B28B" w14:textId="74E46132" w:rsidR="00352ED5" w:rsidRPr="00F804AC" w:rsidRDefault="000D79DA" w:rsidP="00FA08CC">
      <w:pPr>
        <w:widowControl w:val="0"/>
        <w:autoSpaceDE w:val="0"/>
        <w:autoSpaceDN w:val="0"/>
        <w:adjustRightInd w:val="0"/>
        <w:rPr>
          <w:rFonts w:cs="Arial"/>
          <w:szCs w:val="20"/>
        </w:rPr>
      </w:pPr>
      <w:r>
        <w:rPr>
          <w:rFonts w:cs="Arial"/>
          <w:b/>
          <w:color w:val="000000"/>
        </w:rPr>
        <w:lastRenderedPageBreak/>
        <w:t>5.1</w:t>
      </w:r>
      <w:r>
        <w:rPr>
          <w:rFonts w:cs="Arial"/>
          <w:b/>
          <w:color w:val="000000"/>
        </w:rPr>
        <w:tab/>
      </w:r>
      <w:r w:rsidR="007279CF" w:rsidRPr="007279CF">
        <w:rPr>
          <w:rFonts w:cs="Arial"/>
          <w:b/>
          <w:color w:val="000000"/>
        </w:rPr>
        <w:t>Descripción de los principales movimientos</w:t>
      </w:r>
    </w:p>
    <w:p w14:paraId="1A726A9F" w14:textId="3043FC4E" w:rsidR="009B04CB" w:rsidRPr="00AE489C" w:rsidRDefault="008C68D3" w:rsidP="008C68D3">
      <w:pPr>
        <w:spacing w:before="240"/>
        <w:rPr>
          <w:rFonts w:cs="Arial"/>
        </w:rPr>
      </w:pPr>
      <w:r w:rsidRPr="00104822">
        <w:rPr>
          <w:rFonts w:cs="Arial"/>
        </w:rPr>
        <w:t xml:space="preserve">Las altas en el ejercicio </w:t>
      </w:r>
      <w:r w:rsidR="00104822" w:rsidRPr="00104822">
        <w:rPr>
          <w:rFonts w:cs="Arial"/>
        </w:rPr>
        <w:t xml:space="preserve">2024 y </w:t>
      </w:r>
      <w:r w:rsidRPr="00104822">
        <w:rPr>
          <w:rFonts w:cs="Arial"/>
        </w:rPr>
        <w:t>20</w:t>
      </w:r>
      <w:r w:rsidR="009D6158" w:rsidRPr="00104822">
        <w:rPr>
          <w:rFonts w:cs="Arial"/>
        </w:rPr>
        <w:t>2</w:t>
      </w:r>
      <w:r w:rsidR="00B8199B" w:rsidRPr="00104822">
        <w:rPr>
          <w:rFonts w:cs="Arial"/>
        </w:rPr>
        <w:t>3</w:t>
      </w:r>
      <w:r w:rsidR="00AE489C" w:rsidRPr="00104822">
        <w:rPr>
          <w:rFonts w:cs="Arial"/>
        </w:rPr>
        <w:t xml:space="preserve"> </w:t>
      </w:r>
      <w:r w:rsidR="00593F97" w:rsidRPr="00104822">
        <w:rPr>
          <w:rFonts w:cs="Arial"/>
        </w:rPr>
        <w:t>corresponden a adquisición de software informático y registro de marcas</w:t>
      </w:r>
      <w:r w:rsidR="00F7710F" w:rsidRPr="00104822">
        <w:rPr>
          <w:rFonts w:cs="Arial"/>
        </w:rPr>
        <w:t>.</w:t>
      </w:r>
      <w:r w:rsidR="009D6158" w:rsidRPr="00AE489C">
        <w:rPr>
          <w:rFonts w:cs="Arial"/>
        </w:rPr>
        <w:t xml:space="preserve"> </w:t>
      </w:r>
    </w:p>
    <w:p w14:paraId="32710D5C" w14:textId="77777777" w:rsidR="008C68D3" w:rsidRPr="00B422D1" w:rsidRDefault="008C68D3" w:rsidP="008C68D3">
      <w:pPr>
        <w:spacing w:before="240"/>
        <w:jc w:val="left"/>
        <w:rPr>
          <w:rFonts w:cs="Arial"/>
          <w:b/>
          <w:color w:val="000000"/>
        </w:rPr>
      </w:pPr>
      <w:r w:rsidRPr="00B422D1">
        <w:rPr>
          <w:rFonts w:cs="Arial"/>
          <w:b/>
          <w:color w:val="000000"/>
        </w:rPr>
        <w:t>5.</w:t>
      </w:r>
      <w:r w:rsidR="00062B58" w:rsidRPr="00B422D1">
        <w:rPr>
          <w:rFonts w:cs="Arial"/>
          <w:b/>
          <w:color w:val="000000"/>
        </w:rPr>
        <w:t>2</w:t>
      </w:r>
      <w:r w:rsidR="00062B58" w:rsidRPr="00B422D1">
        <w:rPr>
          <w:rFonts w:cs="Arial"/>
          <w:b/>
          <w:color w:val="000000"/>
        </w:rPr>
        <w:tab/>
        <w:t>Otra información</w:t>
      </w:r>
    </w:p>
    <w:p w14:paraId="4E03143A" w14:textId="29E8FF9C" w:rsidR="00136458" w:rsidRPr="00B422D1" w:rsidRDefault="008C68D3" w:rsidP="008C68D3">
      <w:pPr>
        <w:spacing w:before="240"/>
        <w:rPr>
          <w:rFonts w:cs="Arial"/>
        </w:rPr>
      </w:pPr>
      <w:r w:rsidRPr="00B422D1">
        <w:rPr>
          <w:rFonts w:cs="Arial"/>
        </w:rPr>
        <w:t xml:space="preserve">El detalle de los activos intangibles totalmente amortizados </w:t>
      </w:r>
      <w:r w:rsidR="00D71218" w:rsidRPr="00B422D1">
        <w:rPr>
          <w:rFonts w:cs="Arial"/>
        </w:rPr>
        <w:t xml:space="preserve">y en uso </w:t>
      </w:r>
      <w:r w:rsidRPr="00B422D1">
        <w:rPr>
          <w:rFonts w:cs="Arial"/>
        </w:rPr>
        <w:t>al 31 de diciembre es el siguiente:</w:t>
      </w:r>
    </w:p>
    <w:bookmarkStart w:id="16" w:name="_MON_1580185058"/>
    <w:bookmarkEnd w:id="16"/>
    <w:p w14:paraId="2B0A96C2" w14:textId="0EB31E3E" w:rsidR="008C68D3" w:rsidRPr="00F5726A" w:rsidRDefault="00B422D1" w:rsidP="008C68D3">
      <w:pPr>
        <w:spacing w:before="240"/>
        <w:jc w:val="center"/>
        <w:rPr>
          <w:rFonts w:cs="Arial"/>
        </w:rPr>
      </w:pPr>
      <w:r w:rsidRPr="00B422D1">
        <w:rPr>
          <w:rFonts w:cs="Arial"/>
        </w:rPr>
        <w:object w:dxaOrig="6626" w:dyaOrig="1573" w14:anchorId="1C9063C5">
          <v:shape id="_x0000_i1031" type="#_x0000_t75" style="width:326.35pt;height:79.5pt" o:ole="">
            <v:imagedata r:id="rId30" o:title=""/>
          </v:shape>
          <o:OLEObject Type="Embed" ProgID="Excel.Sheet.8" ShapeID="_x0000_i1031" DrawAspect="Content" ObjectID="_1805087266" r:id="rId31"/>
        </w:object>
      </w:r>
    </w:p>
    <w:p w14:paraId="50464CF1" w14:textId="03CB8279" w:rsidR="008C68D3" w:rsidRDefault="008C68D3" w:rsidP="008C68D3">
      <w:pPr>
        <w:rPr>
          <w:rFonts w:cs="Arial"/>
          <w:b/>
          <w:szCs w:val="20"/>
        </w:rPr>
      </w:pPr>
    </w:p>
    <w:p w14:paraId="31590492" w14:textId="4F2BEF14" w:rsidR="00744CA4" w:rsidRDefault="00744CA4" w:rsidP="008C68D3">
      <w:pPr>
        <w:rPr>
          <w:rFonts w:cs="Arial"/>
          <w:b/>
          <w:szCs w:val="20"/>
        </w:rPr>
      </w:pPr>
    </w:p>
    <w:p w14:paraId="637FBD69" w14:textId="77777777" w:rsidR="00BA264E" w:rsidRDefault="00BA264E" w:rsidP="008C68D3">
      <w:pPr>
        <w:rPr>
          <w:rFonts w:cs="Arial"/>
          <w:b/>
          <w:szCs w:val="20"/>
        </w:rPr>
      </w:pPr>
    </w:p>
    <w:p w14:paraId="3402A9CB" w14:textId="77777777" w:rsidR="00352ED5" w:rsidRPr="006015CF" w:rsidRDefault="000D79DA" w:rsidP="00751F30">
      <w:pPr>
        <w:rPr>
          <w:rFonts w:cs="Arial"/>
          <w:b/>
          <w:szCs w:val="20"/>
        </w:rPr>
      </w:pPr>
      <w:r w:rsidRPr="006015CF">
        <w:rPr>
          <w:rFonts w:cs="Arial"/>
          <w:b/>
          <w:szCs w:val="20"/>
        </w:rPr>
        <w:t>6.</w:t>
      </w:r>
      <w:r w:rsidRPr="006015CF">
        <w:rPr>
          <w:rFonts w:cs="Arial"/>
          <w:b/>
          <w:szCs w:val="20"/>
        </w:rPr>
        <w:tab/>
      </w:r>
      <w:r w:rsidR="007279CF" w:rsidRPr="00D41CE5">
        <w:rPr>
          <w:rFonts w:cs="Arial"/>
          <w:b/>
          <w:szCs w:val="20"/>
        </w:rPr>
        <w:t>INMOVILIZADO MATERIAL</w:t>
      </w:r>
    </w:p>
    <w:p w14:paraId="7DB03006" w14:textId="0224BE47" w:rsidR="00ED2282" w:rsidRDefault="008C68D3" w:rsidP="008A4AF7">
      <w:pPr>
        <w:spacing w:before="240"/>
        <w:rPr>
          <w:rFonts w:cs="Arial"/>
        </w:rPr>
      </w:pPr>
      <w:r w:rsidRPr="008936E5">
        <w:rPr>
          <w:rFonts w:cs="Arial"/>
        </w:rPr>
        <w:t>El detalle y los movimientos de las distintas partidas que componen el inmovilizado material son los siguientes:</w:t>
      </w:r>
    </w:p>
    <w:bookmarkStart w:id="17" w:name="_MON_1674384661"/>
    <w:bookmarkEnd w:id="17"/>
    <w:p w14:paraId="4A84C7B3" w14:textId="6C71560B" w:rsidR="00425D21" w:rsidRDefault="00FE1964" w:rsidP="00BA264E">
      <w:pPr>
        <w:spacing w:before="240"/>
        <w:jc w:val="center"/>
        <w:rPr>
          <w:rFonts w:cs="Arial"/>
          <w:b/>
          <w:color w:val="000000"/>
        </w:rPr>
      </w:pPr>
      <w:r w:rsidRPr="00527826">
        <w:rPr>
          <w:rFonts w:cs="Arial"/>
          <w:b/>
          <w:color w:val="000000"/>
        </w:rPr>
        <w:object w:dxaOrig="10323" w:dyaOrig="8510" w14:anchorId="6A50501C">
          <v:shape id="_x0000_i1032" type="#_x0000_t75" style="width:423.6pt;height:350.65pt" o:ole="">
            <v:imagedata r:id="rId32" o:title=""/>
          </v:shape>
          <o:OLEObject Type="Embed" ProgID="Excel.Sheet.8" ShapeID="_x0000_i1032" DrawAspect="Content" ObjectID="_1805087267" r:id="rId33"/>
        </w:object>
      </w:r>
    </w:p>
    <w:p w14:paraId="71EF160C" w14:textId="77777777" w:rsidR="000758C0" w:rsidRDefault="000758C0" w:rsidP="00BA264E">
      <w:pPr>
        <w:spacing w:before="240"/>
        <w:jc w:val="center"/>
        <w:rPr>
          <w:rFonts w:cs="Arial"/>
          <w:b/>
          <w:color w:val="000000"/>
          <w:highlight w:val="yellow"/>
        </w:rPr>
      </w:pPr>
    </w:p>
    <w:p w14:paraId="5C176AAB" w14:textId="27D129D1" w:rsidR="008C68D3" w:rsidRPr="009C561E" w:rsidRDefault="000D79DA" w:rsidP="008C68D3">
      <w:pPr>
        <w:spacing w:before="240"/>
        <w:jc w:val="left"/>
        <w:rPr>
          <w:rFonts w:cs="Arial"/>
          <w:b/>
          <w:color w:val="000000"/>
        </w:rPr>
      </w:pPr>
      <w:r w:rsidRPr="00EF257C">
        <w:rPr>
          <w:rFonts w:cs="Arial"/>
          <w:b/>
          <w:color w:val="000000"/>
        </w:rPr>
        <w:lastRenderedPageBreak/>
        <w:t>6.1</w:t>
      </w:r>
      <w:r w:rsidRPr="00EF257C">
        <w:rPr>
          <w:rFonts w:cs="Arial"/>
          <w:b/>
          <w:color w:val="000000"/>
        </w:rPr>
        <w:tab/>
      </w:r>
      <w:r w:rsidRPr="009C561E">
        <w:rPr>
          <w:rFonts w:cs="Arial"/>
          <w:b/>
          <w:color w:val="000000"/>
        </w:rPr>
        <w:t>Descripción de los principales movimientos</w:t>
      </w:r>
    </w:p>
    <w:p w14:paraId="517C140E" w14:textId="3A2FB8D1" w:rsidR="00D41CE5" w:rsidRPr="009C561E" w:rsidRDefault="0083796E" w:rsidP="008C68D3">
      <w:pPr>
        <w:widowControl w:val="0"/>
        <w:autoSpaceDE w:val="0"/>
        <w:autoSpaceDN w:val="0"/>
        <w:adjustRightInd w:val="0"/>
        <w:spacing w:before="240"/>
        <w:rPr>
          <w:rFonts w:cs="Arial"/>
          <w:color w:val="000000"/>
          <w:szCs w:val="20"/>
        </w:rPr>
      </w:pPr>
      <w:r w:rsidRPr="009C561E">
        <w:rPr>
          <w:rFonts w:cs="Arial"/>
          <w:color w:val="000000"/>
          <w:szCs w:val="20"/>
        </w:rPr>
        <w:t>Las altas que se han producido</w:t>
      </w:r>
      <w:r w:rsidR="00D41CE5" w:rsidRPr="009C561E">
        <w:rPr>
          <w:rFonts w:cs="Arial"/>
          <w:color w:val="000000"/>
          <w:szCs w:val="20"/>
        </w:rPr>
        <w:t xml:space="preserve"> en el ejercicio 202</w:t>
      </w:r>
      <w:r w:rsidR="009C561E" w:rsidRPr="009C561E">
        <w:rPr>
          <w:rFonts w:cs="Arial"/>
          <w:color w:val="000000"/>
          <w:szCs w:val="20"/>
        </w:rPr>
        <w:t>4</w:t>
      </w:r>
      <w:r w:rsidRPr="009C561E">
        <w:rPr>
          <w:rFonts w:cs="Arial"/>
          <w:color w:val="000000"/>
          <w:szCs w:val="20"/>
        </w:rPr>
        <w:t xml:space="preserve"> en</w:t>
      </w:r>
      <w:r w:rsidR="00D41CE5" w:rsidRPr="009C561E">
        <w:rPr>
          <w:rFonts w:cs="Arial"/>
          <w:color w:val="000000"/>
          <w:szCs w:val="20"/>
        </w:rPr>
        <w:t xml:space="preserve"> “Maquinaria” </w:t>
      </w:r>
      <w:bookmarkStart w:id="18" w:name="_Hlk190693562"/>
      <w:r w:rsidR="00D41CE5" w:rsidRPr="009C561E">
        <w:rPr>
          <w:rFonts w:cs="Arial"/>
          <w:color w:val="000000"/>
          <w:szCs w:val="20"/>
        </w:rPr>
        <w:t xml:space="preserve">se han debido </w:t>
      </w:r>
      <w:r w:rsidR="009C561E">
        <w:rPr>
          <w:rFonts w:cs="Arial"/>
          <w:color w:val="000000"/>
          <w:szCs w:val="20"/>
        </w:rPr>
        <w:t xml:space="preserve">principalmente </w:t>
      </w:r>
      <w:r w:rsidR="00D41CE5" w:rsidRPr="009C561E">
        <w:rPr>
          <w:rFonts w:cs="Arial"/>
          <w:color w:val="000000"/>
          <w:szCs w:val="20"/>
        </w:rPr>
        <w:t xml:space="preserve">a </w:t>
      </w:r>
      <w:r w:rsidR="009C561E" w:rsidRPr="009C561E">
        <w:rPr>
          <w:rFonts w:cs="Arial"/>
          <w:color w:val="000000"/>
          <w:szCs w:val="20"/>
        </w:rPr>
        <w:t>envolvedoras, fregadoras y unidades condensadoras</w:t>
      </w:r>
      <w:bookmarkEnd w:id="18"/>
      <w:r w:rsidR="00D41CE5" w:rsidRPr="009C561E">
        <w:rPr>
          <w:rFonts w:cs="Arial"/>
          <w:color w:val="000000"/>
          <w:szCs w:val="20"/>
        </w:rPr>
        <w:t>, mientras que en el ejercicio 202</w:t>
      </w:r>
      <w:r w:rsidR="009C561E" w:rsidRPr="009C561E">
        <w:rPr>
          <w:rFonts w:cs="Arial"/>
          <w:color w:val="000000"/>
          <w:szCs w:val="20"/>
        </w:rPr>
        <w:t>3</w:t>
      </w:r>
      <w:r w:rsidR="00D41CE5" w:rsidRPr="009C561E">
        <w:rPr>
          <w:rFonts w:cs="Arial"/>
          <w:color w:val="000000"/>
          <w:szCs w:val="20"/>
        </w:rPr>
        <w:t xml:space="preserve"> </w:t>
      </w:r>
      <w:r w:rsidR="009C561E" w:rsidRPr="009C561E">
        <w:rPr>
          <w:rFonts w:cs="Arial"/>
          <w:color w:val="000000"/>
          <w:szCs w:val="20"/>
        </w:rPr>
        <w:t>se han debido a grapadoras y etiquetadoras con balanza para el packing</w:t>
      </w:r>
      <w:r w:rsidR="00D41CE5" w:rsidRPr="009C561E">
        <w:rPr>
          <w:rFonts w:cs="Arial"/>
          <w:color w:val="000000"/>
          <w:szCs w:val="20"/>
        </w:rPr>
        <w:t>.</w:t>
      </w:r>
    </w:p>
    <w:p w14:paraId="7119B937" w14:textId="189028F1" w:rsidR="009C561E" w:rsidRPr="009C561E" w:rsidRDefault="009C561E" w:rsidP="008C68D3">
      <w:pPr>
        <w:widowControl w:val="0"/>
        <w:autoSpaceDE w:val="0"/>
        <w:autoSpaceDN w:val="0"/>
        <w:adjustRightInd w:val="0"/>
        <w:spacing w:before="240"/>
        <w:rPr>
          <w:rFonts w:cs="Arial"/>
          <w:color w:val="000000"/>
          <w:szCs w:val="20"/>
        </w:rPr>
      </w:pPr>
      <w:r w:rsidRPr="009C561E">
        <w:rPr>
          <w:rFonts w:cs="Arial"/>
          <w:color w:val="000000"/>
          <w:szCs w:val="20"/>
        </w:rPr>
        <w:t xml:space="preserve">Las bajas producidas en el ejercicio 2024 en “Maquinaria” han sido la </w:t>
      </w:r>
      <w:r w:rsidR="00DD43A2">
        <w:rPr>
          <w:rFonts w:cs="Arial"/>
          <w:color w:val="000000"/>
          <w:szCs w:val="20"/>
        </w:rPr>
        <w:t>e</w:t>
      </w:r>
      <w:r w:rsidRPr="009C561E">
        <w:rPr>
          <w:rFonts w:cs="Arial"/>
          <w:color w:val="000000"/>
          <w:szCs w:val="20"/>
        </w:rPr>
        <w:t xml:space="preserve">nmalladora </w:t>
      </w:r>
      <w:r w:rsidRPr="001A571F">
        <w:rPr>
          <w:rFonts w:cs="Arial"/>
          <w:i/>
          <w:iCs/>
          <w:color w:val="000000"/>
          <w:szCs w:val="20"/>
        </w:rPr>
        <w:t>Affeldt</w:t>
      </w:r>
      <w:r w:rsidRPr="009C561E">
        <w:rPr>
          <w:rFonts w:cs="Arial"/>
          <w:color w:val="000000"/>
          <w:szCs w:val="20"/>
        </w:rPr>
        <w:t xml:space="preserve"> y sus componentes por obsolescencia.</w:t>
      </w:r>
    </w:p>
    <w:p w14:paraId="40E7B0B9" w14:textId="60C7125E" w:rsidR="00D41CE5" w:rsidRPr="009C561E" w:rsidRDefault="00D41CE5" w:rsidP="008C68D3">
      <w:pPr>
        <w:widowControl w:val="0"/>
        <w:autoSpaceDE w:val="0"/>
        <w:autoSpaceDN w:val="0"/>
        <w:adjustRightInd w:val="0"/>
        <w:spacing w:before="240"/>
        <w:rPr>
          <w:rFonts w:cs="Arial"/>
          <w:color w:val="000000"/>
          <w:szCs w:val="20"/>
        </w:rPr>
      </w:pPr>
      <w:r w:rsidRPr="00DD43A2">
        <w:rPr>
          <w:rFonts w:cs="Arial"/>
          <w:color w:val="000000"/>
          <w:szCs w:val="20"/>
        </w:rPr>
        <w:t>Las adquisiciones de</w:t>
      </w:r>
      <w:r w:rsidR="0083796E" w:rsidRPr="00DD43A2">
        <w:rPr>
          <w:rFonts w:cs="Arial"/>
          <w:color w:val="000000"/>
          <w:szCs w:val="20"/>
        </w:rPr>
        <w:t xml:space="preserve"> “Utillaje, otras instalaciones y mobiliario” </w:t>
      </w:r>
      <w:r w:rsidRPr="00DD43A2">
        <w:rPr>
          <w:rFonts w:cs="Arial"/>
          <w:color w:val="000000"/>
          <w:szCs w:val="20"/>
        </w:rPr>
        <w:t>en el ejercicio 202</w:t>
      </w:r>
      <w:r w:rsidR="009C561E" w:rsidRPr="00DD43A2">
        <w:rPr>
          <w:rFonts w:cs="Arial"/>
          <w:color w:val="000000"/>
          <w:szCs w:val="20"/>
        </w:rPr>
        <w:t>4</w:t>
      </w:r>
      <w:r w:rsidRPr="00DD43A2">
        <w:rPr>
          <w:rFonts w:cs="Arial"/>
          <w:color w:val="000000"/>
          <w:szCs w:val="20"/>
        </w:rPr>
        <w:t xml:space="preserve"> corresponden </w:t>
      </w:r>
      <w:r w:rsidR="00DD43A2">
        <w:rPr>
          <w:rFonts w:cs="Arial"/>
          <w:color w:val="000000"/>
          <w:szCs w:val="20"/>
        </w:rPr>
        <w:t xml:space="preserve">principalmente </w:t>
      </w:r>
      <w:r w:rsidRPr="00DD43A2">
        <w:rPr>
          <w:rFonts w:cs="Arial"/>
          <w:color w:val="000000"/>
          <w:szCs w:val="20"/>
        </w:rPr>
        <w:t xml:space="preserve">a </w:t>
      </w:r>
      <w:r w:rsidR="00DD43A2" w:rsidRPr="00DD43A2">
        <w:rPr>
          <w:rFonts w:cs="Arial"/>
          <w:color w:val="000000"/>
          <w:szCs w:val="20"/>
        </w:rPr>
        <w:t>instalaciones de aire acondicionado, cartelería de fachadas y diverso mobiliario para la actividad comercial y los almacenes de Tenerife y Gran Canaria</w:t>
      </w:r>
      <w:r w:rsidR="00FD21D6" w:rsidRPr="00DD43A2">
        <w:rPr>
          <w:rFonts w:cs="Arial"/>
          <w:color w:val="000000"/>
          <w:szCs w:val="20"/>
        </w:rPr>
        <w:t>.</w:t>
      </w:r>
      <w:r w:rsidRPr="00DD43A2">
        <w:rPr>
          <w:rFonts w:cs="Arial"/>
          <w:color w:val="000000"/>
          <w:szCs w:val="20"/>
        </w:rPr>
        <w:t xml:space="preserve"> </w:t>
      </w:r>
      <w:r w:rsidR="00FD21D6" w:rsidRPr="00DD43A2">
        <w:rPr>
          <w:rFonts w:cs="Arial"/>
          <w:color w:val="000000"/>
          <w:szCs w:val="20"/>
        </w:rPr>
        <w:t>E</w:t>
      </w:r>
      <w:r w:rsidR="006A4C44" w:rsidRPr="00DD43A2">
        <w:rPr>
          <w:rFonts w:cs="Arial"/>
          <w:color w:val="000000"/>
          <w:szCs w:val="20"/>
        </w:rPr>
        <w:t>n el ejercicio 2</w:t>
      </w:r>
      <w:r w:rsidR="002E1D66" w:rsidRPr="00DD43A2">
        <w:rPr>
          <w:rFonts w:cs="Arial"/>
          <w:color w:val="000000"/>
          <w:szCs w:val="20"/>
        </w:rPr>
        <w:t>0</w:t>
      </w:r>
      <w:r w:rsidR="007624E6" w:rsidRPr="00DD43A2">
        <w:rPr>
          <w:rFonts w:cs="Arial"/>
          <w:color w:val="000000"/>
          <w:szCs w:val="20"/>
        </w:rPr>
        <w:t>2</w:t>
      </w:r>
      <w:r w:rsidR="009C561E" w:rsidRPr="00DD43A2">
        <w:rPr>
          <w:rFonts w:cs="Arial"/>
          <w:color w:val="000000"/>
          <w:szCs w:val="20"/>
        </w:rPr>
        <w:t>3</w:t>
      </w:r>
      <w:r w:rsidR="00EF257C" w:rsidRPr="00DD43A2">
        <w:rPr>
          <w:rFonts w:cs="Arial"/>
          <w:color w:val="000000"/>
          <w:szCs w:val="20"/>
        </w:rPr>
        <w:t xml:space="preserve"> se han debido principalmente a </w:t>
      </w:r>
      <w:r w:rsidR="009C561E" w:rsidRPr="00DD43A2">
        <w:rPr>
          <w:rFonts w:cs="Arial"/>
          <w:color w:val="000000"/>
          <w:szCs w:val="20"/>
        </w:rPr>
        <w:t>mesas y sillas para el almacén de Gran Canaria</w:t>
      </w:r>
      <w:r w:rsidR="00427BB4" w:rsidRPr="00DD43A2">
        <w:rPr>
          <w:rFonts w:cs="Arial"/>
          <w:color w:val="000000"/>
          <w:szCs w:val="20"/>
        </w:rPr>
        <w:t>.</w:t>
      </w:r>
      <w:r w:rsidR="00EF257C" w:rsidRPr="009C561E">
        <w:rPr>
          <w:rFonts w:cs="Arial"/>
          <w:color w:val="000000"/>
          <w:szCs w:val="20"/>
        </w:rPr>
        <w:t xml:space="preserve"> </w:t>
      </w:r>
    </w:p>
    <w:p w14:paraId="0963FD9D" w14:textId="27E33FF5" w:rsidR="00A92A48" w:rsidRPr="009F2DAB" w:rsidRDefault="008C68D3" w:rsidP="008C68D3">
      <w:pPr>
        <w:widowControl w:val="0"/>
        <w:autoSpaceDE w:val="0"/>
        <w:autoSpaceDN w:val="0"/>
        <w:adjustRightInd w:val="0"/>
        <w:spacing w:before="240"/>
        <w:rPr>
          <w:rFonts w:cs="Arial"/>
          <w:color w:val="000000"/>
          <w:szCs w:val="20"/>
        </w:rPr>
      </w:pPr>
      <w:r w:rsidRPr="00DD43A2">
        <w:rPr>
          <w:rFonts w:cs="Arial"/>
          <w:color w:val="000000"/>
          <w:szCs w:val="20"/>
        </w:rPr>
        <w:t xml:space="preserve">Las </w:t>
      </w:r>
      <w:r w:rsidR="00A92A48" w:rsidRPr="00DD43A2">
        <w:rPr>
          <w:rFonts w:cs="Arial"/>
          <w:color w:val="000000"/>
          <w:szCs w:val="20"/>
        </w:rPr>
        <w:t xml:space="preserve">altas </w:t>
      </w:r>
      <w:r w:rsidRPr="00DD43A2">
        <w:rPr>
          <w:rFonts w:cs="Arial"/>
          <w:color w:val="000000"/>
          <w:szCs w:val="20"/>
        </w:rPr>
        <w:t>producid</w:t>
      </w:r>
      <w:r w:rsidR="00A92A48" w:rsidRPr="00DD43A2">
        <w:rPr>
          <w:rFonts w:cs="Arial"/>
          <w:color w:val="000000"/>
          <w:szCs w:val="20"/>
        </w:rPr>
        <w:t>as</w:t>
      </w:r>
      <w:r w:rsidRPr="00DD43A2">
        <w:rPr>
          <w:rFonts w:cs="Arial"/>
          <w:color w:val="000000"/>
          <w:szCs w:val="20"/>
        </w:rPr>
        <w:t xml:space="preserve"> </w:t>
      </w:r>
      <w:r w:rsidR="00F74FBF" w:rsidRPr="00DD43A2">
        <w:rPr>
          <w:rFonts w:cs="Arial"/>
          <w:color w:val="000000"/>
          <w:szCs w:val="20"/>
        </w:rPr>
        <w:t xml:space="preserve">en el ejercicio </w:t>
      </w:r>
      <w:r w:rsidR="00A92A48" w:rsidRPr="00DD43A2">
        <w:rPr>
          <w:rFonts w:cs="Arial"/>
          <w:color w:val="000000"/>
          <w:szCs w:val="20"/>
        </w:rPr>
        <w:t>20</w:t>
      </w:r>
      <w:r w:rsidR="007624E6" w:rsidRPr="00DD43A2">
        <w:rPr>
          <w:rFonts w:cs="Arial"/>
          <w:color w:val="000000"/>
          <w:szCs w:val="20"/>
        </w:rPr>
        <w:t>2</w:t>
      </w:r>
      <w:r w:rsidR="00DD43A2" w:rsidRPr="00DD43A2">
        <w:rPr>
          <w:rFonts w:cs="Arial"/>
          <w:color w:val="000000"/>
          <w:szCs w:val="20"/>
        </w:rPr>
        <w:t>4</w:t>
      </w:r>
      <w:r w:rsidR="00A92A48" w:rsidRPr="00DD43A2">
        <w:rPr>
          <w:rFonts w:cs="Arial"/>
          <w:color w:val="000000"/>
          <w:szCs w:val="20"/>
        </w:rPr>
        <w:t xml:space="preserve"> y </w:t>
      </w:r>
      <w:r w:rsidR="00F74FBF" w:rsidRPr="00DD43A2">
        <w:rPr>
          <w:rFonts w:cs="Arial"/>
          <w:color w:val="000000"/>
          <w:szCs w:val="20"/>
        </w:rPr>
        <w:t>20</w:t>
      </w:r>
      <w:r w:rsidR="00520A08" w:rsidRPr="00DD43A2">
        <w:rPr>
          <w:rFonts w:cs="Arial"/>
          <w:color w:val="000000"/>
          <w:szCs w:val="20"/>
        </w:rPr>
        <w:t>2</w:t>
      </w:r>
      <w:r w:rsidR="00DD43A2" w:rsidRPr="00DD43A2">
        <w:rPr>
          <w:rFonts w:cs="Arial"/>
          <w:color w:val="000000"/>
          <w:szCs w:val="20"/>
        </w:rPr>
        <w:t>3</w:t>
      </w:r>
      <w:r w:rsidR="00F5726A" w:rsidRPr="00DD43A2">
        <w:rPr>
          <w:rFonts w:cs="Arial"/>
          <w:color w:val="000000"/>
          <w:szCs w:val="20"/>
        </w:rPr>
        <w:t xml:space="preserve"> </w:t>
      </w:r>
      <w:r w:rsidR="00D65EB8" w:rsidRPr="00DD43A2">
        <w:rPr>
          <w:rFonts w:cs="Arial"/>
          <w:color w:val="000000"/>
          <w:szCs w:val="20"/>
        </w:rPr>
        <w:t xml:space="preserve">en el epígrafe de </w:t>
      </w:r>
      <w:r w:rsidR="00D71218" w:rsidRPr="00DD43A2">
        <w:rPr>
          <w:rFonts w:cs="Arial"/>
          <w:color w:val="000000"/>
          <w:szCs w:val="20"/>
        </w:rPr>
        <w:t>“</w:t>
      </w:r>
      <w:r w:rsidR="006073C1" w:rsidRPr="00DD43A2">
        <w:rPr>
          <w:rFonts w:cs="Arial"/>
          <w:color w:val="000000"/>
          <w:szCs w:val="20"/>
        </w:rPr>
        <w:t>E</w:t>
      </w:r>
      <w:r w:rsidR="00743F5F" w:rsidRPr="00DD43A2">
        <w:rPr>
          <w:rFonts w:cs="Arial"/>
          <w:color w:val="000000"/>
          <w:szCs w:val="20"/>
        </w:rPr>
        <w:t xml:space="preserve">quipos </w:t>
      </w:r>
      <w:r w:rsidR="006073C1" w:rsidRPr="00DD43A2">
        <w:rPr>
          <w:rFonts w:cs="Arial"/>
          <w:color w:val="000000"/>
          <w:szCs w:val="20"/>
        </w:rPr>
        <w:t>para Procesos de Información</w:t>
      </w:r>
      <w:r w:rsidR="00D71218" w:rsidRPr="00DD43A2">
        <w:rPr>
          <w:rFonts w:cs="Arial"/>
          <w:color w:val="000000"/>
          <w:szCs w:val="20"/>
        </w:rPr>
        <w:t>”</w:t>
      </w:r>
      <w:r w:rsidR="006073C1" w:rsidRPr="00DD43A2">
        <w:rPr>
          <w:rFonts w:cs="Arial"/>
          <w:color w:val="000000"/>
          <w:szCs w:val="20"/>
        </w:rPr>
        <w:t xml:space="preserve"> </w:t>
      </w:r>
      <w:r w:rsidR="00F74FBF" w:rsidRPr="00DD43A2">
        <w:rPr>
          <w:rFonts w:cs="Arial"/>
          <w:color w:val="000000"/>
          <w:szCs w:val="20"/>
        </w:rPr>
        <w:t xml:space="preserve">se han </w:t>
      </w:r>
      <w:r w:rsidR="006073C1" w:rsidRPr="00DD43A2">
        <w:rPr>
          <w:rFonts w:cs="Arial"/>
          <w:color w:val="000000"/>
          <w:szCs w:val="20"/>
        </w:rPr>
        <w:t xml:space="preserve">debido </w:t>
      </w:r>
      <w:r w:rsidR="00F74FBF" w:rsidRPr="00DD43A2">
        <w:rPr>
          <w:rFonts w:cs="Arial"/>
          <w:color w:val="000000"/>
          <w:szCs w:val="20"/>
        </w:rPr>
        <w:t xml:space="preserve">principalmente </w:t>
      </w:r>
      <w:r w:rsidR="006073C1" w:rsidRPr="00DD43A2">
        <w:rPr>
          <w:rFonts w:cs="Arial"/>
          <w:color w:val="000000"/>
          <w:szCs w:val="20"/>
        </w:rPr>
        <w:t xml:space="preserve">a la </w:t>
      </w:r>
      <w:r w:rsidR="004306BE" w:rsidRPr="00DD43A2">
        <w:rPr>
          <w:rFonts w:cs="Arial"/>
          <w:color w:val="000000"/>
          <w:szCs w:val="20"/>
        </w:rPr>
        <w:t>adquisi</w:t>
      </w:r>
      <w:r w:rsidR="006073C1" w:rsidRPr="00DD43A2">
        <w:rPr>
          <w:rFonts w:cs="Arial"/>
          <w:color w:val="000000"/>
          <w:szCs w:val="20"/>
        </w:rPr>
        <w:t>ción de equipos</w:t>
      </w:r>
      <w:r w:rsidR="00983C56" w:rsidRPr="00DD43A2">
        <w:rPr>
          <w:rFonts w:cs="Arial"/>
          <w:color w:val="000000"/>
          <w:szCs w:val="20"/>
        </w:rPr>
        <w:t xml:space="preserve"> informáticos</w:t>
      </w:r>
      <w:r w:rsidR="002773AF" w:rsidRPr="00DD43A2">
        <w:rPr>
          <w:rFonts w:cs="Arial"/>
          <w:color w:val="000000"/>
          <w:szCs w:val="20"/>
        </w:rPr>
        <w:t>.</w:t>
      </w:r>
    </w:p>
    <w:p w14:paraId="4AF1189E" w14:textId="0207FB64" w:rsidR="00213447" w:rsidRPr="007B761C" w:rsidRDefault="00213447" w:rsidP="00213447">
      <w:pPr>
        <w:spacing w:before="240"/>
        <w:jc w:val="left"/>
        <w:rPr>
          <w:rFonts w:cs="Arial"/>
          <w:b/>
          <w:color w:val="FF0000"/>
        </w:rPr>
      </w:pPr>
      <w:r w:rsidRPr="001157DE">
        <w:rPr>
          <w:rFonts w:cs="Arial"/>
          <w:b/>
          <w:color w:val="000000"/>
        </w:rPr>
        <w:t>6.2</w:t>
      </w:r>
      <w:r w:rsidRPr="001157DE">
        <w:rPr>
          <w:rFonts w:cs="Arial"/>
          <w:b/>
          <w:color w:val="000000"/>
        </w:rPr>
        <w:tab/>
      </w:r>
      <w:r w:rsidR="007279CF" w:rsidRPr="001157DE">
        <w:rPr>
          <w:rFonts w:cs="Arial"/>
          <w:b/>
          <w:color w:val="000000"/>
        </w:rPr>
        <w:t>Arrendamientos operativos</w:t>
      </w:r>
    </w:p>
    <w:p w14:paraId="1E4A3BDE" w14:textId="6A1CB03F" w:rsidR="00213447" w:rsidRPr="005F74F2" w:rsidRDefault="00213447" w:rsidP="00213447">
      <w:pPr>
        <w:widowControl w:val="0"/>
        <w:autoSpaceDE w:val="0"/>
        <w:autoSpaceDN w:val="0"/>
        <w:adjustRightInd w:val="0"/>
        <w:spacing w:before="240"/>
        <w:rPr>
          <w:rFonts w:cs="Arial"/>
          <w:color w:val="000000"/>
        </w:rPr>
      </w:pPr>
      <w:r w:rsidRPr="00A92A48">
        <w:rPr>
          <w:rFonts w:cs="Arial"/>
          <w:color w:val="000000"/>
        </w:rPr>
        <w:t xml:space="preserve">La </w:t>
      </w:r>
      <w:r w:rsidR="00970388" w:rsidRPr="00A92A48">
        <w:rPr>
          <w:rFonts w:cs="Arial"/>
          <w:color w:val="000000"/>
        </w:rPr>
        <w:t>S</w:t>
      </w:r>
      <w:r w:rsidRPr="00A92A48">
        <w:rPr>
          <w:rFonts w:cs="Arial"/>
          <w:color w:val="000000"/>
        </w:rPr>
        <w:t xml:space="preserve">ociedad tiene arrendados diversos inmuebles en </w:t>
      </w:r>
      <w:r w:rsidR="006073C1" w:rsidRPr="00A92A48">
        <w:rPr>
          <w:rFonts w:cs="Arial"/>
          <w:color w:val="000000"/>
        </w:rPr>
        <w:t xml:space="preserve">las provincias de </w:t>
      </w:r>
      <w:r w:rsidRPr="00A92A48">
        <w:rPr>
          <w:rFonts w:cs="Arial"/>
          <w:color w:val="000000"/>
        </w:rPr>
        <w:t xml:space="preserve">Santa Cruz de Tenerife y en </w:t>
      </w:r>
      <w:r w:rsidR="006073C1" w:rsidRPr="00A92A48">
        <w:rPr>
          <w:rFonts w:cs="Arial"/>
          <w:color w:val="000000"/>
        </w:rPr>
        <w:t>L</w:t>
      </w:r>
      <w:r w:rsidRPr="00A92A48">
        <w:rPr>
          <w:rFonts w:cs="Arial"/>
          <w:color w:val="000000"/>
        </w:rPr>
        <w:t>as Palmas</w:t>
      </w:r>
      <w:r w:rsidR="006073C1" w:rsidRPr="00A92A48">
        <w:rPr>
          <w:rFonts w:cs="Arial"/>
          <w:color w:val="000000"/>
        </w:rPr>
        <w:t>,</w:t>
      </w:r>
      <w:r w:rsidRPr="00A92A48">
        <w:rPr>
          <w:rFonts w:cs="Arial"/>
          <w:color w:val="000000"/>
        </w:rPr>
        <w:t xml:space="preserve"> así </w:t>
      </w:r>
      <w:r w:rsidRPr="005F74F2">
        <w:rPr>
          <w:rFonts w:cs="Arial"/>
          <w:color w:val="000000"/>
        </w:rPr>
        <w:t xml:space="preserve">como diversos vehículos </w:t>
      </w:r>
      <w:r w:rsidRPr="00104822">
        <w:rPr>
          <w:rFonts w:cs="Arial"/>
          <w:color w:val="000000"/>
        </w:rPr>
        <w:t xml:space="preserve">para el desarrollo de sus actividades. El gasto conjunto de </w:t>
      </w:r>
      <w:r w:rsidR="00B4234C" w:rsidRPr="00104822">
        <w:rPr>
          <w:rFonts w:cs="Arial"/>
          <w:color w:val="000000"/>
        </w:rPr>
        <w:t>l</w:t>
      </w:r>
      <w:r w:rsidRPr="00104822">
        <w:rPr>
          <w:rFonts w:cs="Arial"/>
          <w:color w:val="000000"/>
        </w:rPr>
        <w:t xml:space="preserve">os contratos </w:t>
      </w:r>
      <w:r w:rsidR="00B4234C" w:rsidRPr="00104822">
        <w:rPr>
          <w:rFonts w:cs="Arial"/>
          <w:color w:val="000000"/>
        </w:rPr>
        <w:t xml:space="preserve">de arrendamiento </w:t>
      </w:r>
      <w:r w:rsidRPr="00104822">
        <w:rPr>
          <w:rFonts w:cs="Arial"/>
          <w:color w:val="000000"/>
        </w:rPr>
        <w:t xml:space="preserve">ha ascendido </w:t>
      </w:r>
      <w:bookmarkStart w:id="19" w:name="_Hlk190424351"/>
      <w:r w:rsidR="001024C9" w:rsidRPr="00104822">
        <w:rPr>
          <w:rFonts w:cs="Arial"/>
          <w:color w:val="000000"/>
        </w:rPr>
        <w:t>7</w:t>
      </w:r>
      <w:r w:rsidR="00104822" w:rsidRPr="00104822">
        <w:rPr>
          <w:rFonts w:cs="Arial"/>
          <w:color w:val="000000"/>
        </w:rPr>
        <w:t>76.416,59</w:t>
      </w:r>
      <w:r w:rsidR="0008091A" w:rsidRPr="00104822">
        <w:rPr>
          <w:rFonts w:cs="Arial"/>
          <w:color w:val="000000"/>
        </w:rPr>
        <w:t xml:space="preserve"> euros </w:t>
      </w:r>
      <w:bookmarkEnd w:id="19"/>
      <w:r w:rsidRPr="00104822">
        <w:rPr>
          <w:rFonts w:cs="Arial"/>
          <w:color w:val="000000"/>
        </w:rPr>
        <w:t>(</w:t>
      </w:r>
      <w:r w:rsidR="000B2A68" w:rsidRPr="00104822">
        <w:rPr>
          <w:rFonts w:cs="Arial"/>
          <w:color w:val="000000"/>
        </w:rPr>
        <w:t xml:space="preserve">722.592,45 euros </w:t>
      </w:r>
      <w:r w:rsidRPr="00104822">
        <w:rPr>
          <w:rFonts w:cs="Arial"/>
          <w:color w:val="000000"/>
        </w:rPr>
        <w:t>en 20</w:t>
      </w:r>
      <w:r w:rsidR="00CA04B9" w:rsidRPr="00104822">
        <w:rPr>
          <w:rFonts w:cs="Arial"/>
          <w:color w:val="000000"/>
        </w:rPr>
        <w:t>2</w:t>
      </w:r>
      <w:r w:rsidR="000B2A68" w:rsidRPr="00104822">
        <w:rPr>
          <w:rFonts w:cs="Arial"/>
          <w:color w:val="000000"/>
        </w:rPr>
        <w:t>3</w:t>
      </w:r>
      <w:r w:rsidR="00970388" w:rsidRPr="00104822">
        <w:rPr>
          <w:rFonts w:cs="Arial"/>
          <w:color w:val="000000"/>
        </w:rPr>
        <w:t>)</w:t>
      </w:r>
      <w:r w:rsidRPr="00104822">
        <w:rPr>
          <w:rFonts w:cs="Arial"/>
          <w:color w:val="000000"/>
        </w:rPr>
        <w:t xml:space="preserve"> </w:t>
      </w:r>
      <w:r w:rsidR="00970388" w:rsidRPr="00104822">
        <w:rPr>
          <w:rFonts w:cs="Arial"/>
          <w:color w:val="000000"/>
        </w:rPr>
        <w:t>(</w:t>
      </w:r>
      <w:r w:rsidRPr="00104822">
        <w:rPr>
          <w:rFonts w:cs="Arial"/>
          <w:color w:val="000000"/>
        </w:rPr>
        <w:t>Nota 16.</w:t>
      </w:r>
      <w:r w:rsidR="00551459" w:rsidRPr="00104822">
        <w:rPr>
          <w:rFonts w:cs="Arial"/>
          <w:color w:val="000000"/>
        </w:rPr>
        <w:t>6</w:t>
      </w:r>
      <w:r w:rsidRPr="00104822">
        <w:rPr>
          <w:rFonts w:cs="Arial"/>
          <w:color w:val="000000"/>
        </w:rPr>
        <w:t>). La descripción de los contratos más significativos es la siguiente</w:t>
      </w:r>
      <w:r w:rsidRPr="005F74F2">
        <w:rPr>
          <w:rFonts w:cs="Arial"/>
          <w:color w:val="000000"/>
        </w:rPr>
        <w:t>:</w:t>
      </w:r>
    </w:p>
    <w:p w14:paraId="20E77EA7" w14:textId="3FEAC306" w:rsidR="00352ED5" w:rsidRPr="00EB025B" w:rsidRDefault="00352ED5"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La Sociedad te</w:t>
      </w:r>
      <w:r w:rsidR="00265C50" w:rsidRPr="00EB025B">
        <w:rPr>
          <w:rFonts w:ascii="Arial" w:hAnsi="Arial" w:cs="Arial"/>
          <w:color w:val="000000"/>
          <w:sz w:val="20"/>
          <w:szCs w:val="20"/>
        </w:rPr>
        <w:t>nía</w:t>
      </w:r>
      <w:r w:rsidRPr="00EB025B">
        <w:rPr>
          <w:rFonts w:ascii="Arial" w:hAnsi="Arial" w:cs="Arial"/>
          <w:color w:val="000000"/>
          <w:sz w:val="20"/>
          <w:szCs w:val="20"/>
        </w:rPr>
        <w:t xml:space="preserve"> arrendadas </w:t>
      </w:r>
      <w:r w:rsidR="00B943FA" w:rsidRPr="00EB025B">
        <w:rPr>
          <w:rFonts w:ascii="Arial" w:hAnsi="Arial" w:cs="Arial"/>
          <w:color w:val="000000"/>
          <w:sz w:val="20"/>
          <w:szCs w:val="20"/>
        </w:rPr>
        <w:t xml:space="preserve">sus </w:t>
      </w:r>
      <w:r w:rsidR="000E19EF" w:rsidRPr="00EB025B">
        <w:rPr>
          <w:rFonts w:ascii="Arial" w:hAnsi="Arial" w:cs="Arial"/>
          <w:color w:val="000000"/>
          <w:sz w:val="20"/>
          <w:szCs w:val="20"/>
        </w:rPr>
        <w:t>oficinas centrales de</w:t>
      </w:r>
      <w:r w:rsidR="00B943FA" w:rsidRPr="00EB025B">
        <w:rPr>
          <w:rFonts w:ascii="Arial" w:hAnsi="Arial" w:cs="Arial"/>
          <w:color w:val="000000"/>
          <w:sz w:val="20"/>
          <w:szCs w:val="20"/>
        </w:rPr>
        <w:t xml:space="preserve"> Santa Cruz de Tenerife</w:t>
      </w:r>
      <w:r w:rsidR="000E19EF" w:rsidRPr="00EB025B">
        <w:rPr>
          <w:rFonts w:ascii="Arial" w:hAnsi="Arial" w:cs="Arial"/>
          <w:color w:val="000000"/>
          <w:sz w:val="20"/>
          <w:szCs w:val="20"/>
        </w:rPr>
        <w:t>, ubicadas en la calle Jesús Hernández Guzmán,</w:t>
      </w:r>
      <w:r w:rsidRPr="00EB025B">
        <w:rPr>
          <w:rFonts w:ascii="Arial" w:hAnsi="Arial" w:cs="Arial"/>
          <w:color w:val="000000"/>
          <w:sz w:val="20"/>
          <w:szCs w:val="20"/>
        </w:rPr>
        <w:t xml:space="preserve"> hast</w:t>
      </w:r>
      <w:r w:rsidR="0038767E" w:rsidRPr="00EB025B">
        <w:rPr>
          <w:rFonts w:ascii="Arial" w:hAnsi="Arial" w:cs="Arial"/>
          <w:color w:val="000000"/>
          <w:sz w:val="20"/>
          <w:szCs w:val="20"/>
        </w:rPr>
        <w:t xml:space="preserve">a el </w:t>
      </w:r>
      <w:r w:rsidR="000E19EF" w:rsidRPr="00EB025B">
        <w:rPr>
          <w:rFonts w:ascii="Arial" w:hAnsi="Arial" w:cs="Arial"/>
          <w:color w:val="000000"/>
          <w:sz w:val="20"/>
          <w:szCs w:val="20"/>
        </w:rPr>
        <w:t>30</w:t>
      </w:r>
      <w:r w:rsidR="00691E39" w:rsidRPr="00EB025B">
        <w:rPr>
          <w:rFonts w:ascii="Arial" w:hAnsi="Arial" w:cs="Arial"/>
          <w:color w:val="000000"/>
          <w:sz w:val="20"/>
          <w:szCs w:val="20"/>
        </w:rPr>
        <w:t xml:space="preserve"> de </w:t>
      </w:r>
      <w:r w:rsidR="000E19EF" w:rsidRPr="00EB025B">
        <w:rPr>
          <w:rFonts w:ascii="Arial" w:hAnsi="Arial" w:cs="Arial"/>
          <w:color w:val="000000"/>
          <w:sz w:val="20"/>
          <w:szCs w:val="20"/>
        </w:rPr>
        <w:t>septiembre</w:t>
      </w:r>
      <w:r w:rsidR="00691E39" w:rsidRPr="00EB025B">
        <w:rPr>
          <w:rFonts w:ascii="Arial" w:hAnsi="Arial" w:cs="Arial"/>
          <w:color w:val="000000"/>
          <w:sz w:val="20"/>
          <w:szCs w:val="20"/>
        </w:rPr>
        <w:t xml:space="preserve"> de 201</w:t>
      </w:r>
      <w:r w:rsidR="000E19EF" w:rsidRPr="00EB025B">
        <w:rPr>
          <w:rFonts w:ascii="Arial" w:hAnsi="Arial" w:cs="Arial"/>
          <w:color w:val="000000"/>
          <w:sz w:val="20"/>
          <w:szCs w:val="20"/>
        </w:rPr>
        <w:t>9</w:t>
      </w:r>
      <w:r w:rsidRPr="00EB025B">
        <w:rPr>
          <w:rFonts w:ascii="Arial" w:hAnsi="Arial" w:cs="Arial"/>
          <w:color w:val="000000"/>
          <w:sz w:val="20"/>
          <w:szCs w:val="20"/>
        </w:rPr>
        <w:t xml:space="preserve">. </w:t>
      </w:r>
      <w:r w:rsidR="00ED4F3A" w:rsidRPr="00EB025B">
        <w:rPr>
          <w:rFonts w:ascii="Arial" w:hAnsi="Arial" w:cs="Arial"/>
          <w:color w:val="000000"/>
          <w:sz w:val="20"/>
          <w:szCs w:val="20"/>
        </w:rPr>
        <w:t>Una vez transcurrida su vigencia podrá prorrogarse por períodos anuales si alguna de las partes no manifiesta lo contrario</w:t>
      </w:r>
      <w:r w:rsidR="004F31A1" w:rsidRPr="00EB025B">
        <w:rPr>
          <w:rFonts w:ascii="Arial" w:hAnsi="Arial" w:cs="Arial"/>
          <w:color w:val="000000"/>
          <w:sz w:val="20"/>
          <w:szCs w:val="20"/>
        </w:rPr>
        <w:t xml:space="preserve">, por lo que </w:t>
      </w:r>
      <w:r w:rsidR="007429EB" w:rsidRPr="00EB025B">
        <w:rPr>
          <w:rFonts w:ascii="Arial" w:hAnsi="Arial" w:cs="Arial"/>
          <w:color w:val="000000"/>
          <w:sz w:val="20"/>
          <w:szCs w:val="20"/>
        </w:rPr>
        <w:t>se mantiene</w:t>
      </w:r>
      <w:r w:rsidR="004F31A1" w:rsidRPr="00EB025B">
        <w:rPr>
          <w:rFonts w:ascii="Arial" w:hAnsi="Arial" w:cs="Arial"/>
          <w:color w:val="000000"/>
          <w:sz w:val="20"/>
          <w:szCs w:val="20"/>
        </w:rPr>
        <w:t xml:space="preserve"> vigente hasta el 30 de septiembre de 202</w:t>
      </w:r>
      <w:r w:rsidR="000B2A68">
        <w:rPr>
          <w:rFonts w:ascii="Arial" w:hAnsi="Arial" w:cs="Arial"/>
          <w:color w:val="000000"/>
          <w:sz w:val="20"/>
          <w:szCs w:val="20"/>
        </w:rPr>
        <w:t>5</w:t>
      </w:r>
      <w:r w:rsidR="00ED4F3A" w:rsidRPr="00EB025B">
        <w:rPr>
          <w:rFonts w:ascii="Arial" w:hAnsi="Arial" w:cs="Arial"/>
          <w:color w:val="000000"/>
          <w:sz w:val="20"/>
          <w:szCs w:val="20"/>
        </w:rPr>
        <w:t>.</w:t>
      </w:r>
      <w:r w:rsidR="00913AFA" w:rsidRPr="00EB025B">
        <w:rPr>
          <w:rFonts w:ascii="Arial" w:hAnsi="Arial" w:cs="Arial"/>
          <w:color w:val="000000"/>
          <w:sz w:val="20"/>
          <w:szCs w:val="20"/>
        </w:rPr>
        <w:t xml:space="preserve"> </w:t>
      </w:r>
      <w:r w:rsidR="000E19EF" w:rsidRPr="00EB025B">
        <w:rPr>
          <w:rFonts w:ascii="Arial" w:hAnsi="Arial" w:cs="Arial"/>
          <w:color w:val="000000"/>
          <w:sz w:val="20"/>
          <w:szCs w:val="20"/>
        </w:rPr>
        <w:t>La</w:t>
      </w:r>
      <w:r w:rsidR="00913AFA" w:rsidRPr="00EB025B">
        <w:rPr>
          <w:rFonts w:ascii="Arial" w:hAnsi="Arial" w:cs="Arial"/>
          <w:color w:val="000000"/>
          <w:sz w:val="20"/>
          <w:szCs w:val="20"/>
        </w:rPr>
        <w:t xml:space="preserve"> amortización de las inversiones realizadas</w:t>
      </w:r>
      <w:r w:rsidR="00D060E1" w:rsidRPr="00EB025B">
        <w:rPr>
          <w:rFonts w:ascii="Arial" w:hAnsi="Arial" w:cs="Arial"/>
          <w:color w:val="000000"/>
          <w:sz w:val="20"/>
          <w:szCs w:val="20"/>
        </w:rPr>
        <w:t>,</w:t>
      </w:r>
      <w:r w:rsidR="000E19EF" w:rsidRPr="00EB025B">
        <w:rPr>
          <w:rFonts w:ascii="Arial" w:hAnsi="Arial" w:cs="Arial"/>
          <w:color w:val="000000"/>
          <w:sz w:val="20"/>
          <w:szCs w:val="20"/>
        </w:rPr>
        <w:t xml:space="preserve"> </w:t>
      </w:r>
      <w:r w:rsidR="00913AFA" w:rsidRPr="00EB025B">
        <w:rPr>
          <w:rFonts w:ascii="Arial" w:hAnsi="Arial" w:cs="Arial"/>
          <w:color w:val="000000"/>
          <w:sz w:val="20"/>
          <w:szCs w:val="20"/>
        </w:rPr>
        <w:t xml:space="preserve">que han </w:t>
      </w:r>
      <w:r w:rsidR="00D060E1" w:rsidRPr="00EB025B">
        <w:rPr>
          <w:rFonts w:ascii="Arial" w:hAnsi="Arial" w:cs="Arial"/>
          <w:color w:val="000000"/>
          <w:sz w:val="20"/>
          <w:szCs w:val="20"/>
        </w:rPr>
        <w:t>sido consideradas</w:t>
      </w:r>
      <w:r w:rsidR="00913AFA" w:rsidRPr="00EB025B">
        <w:rPr>
          <w:rFonts w:ascii="Arial" w:hAnsi="Arial" w:cs="Arial"/>
          <w:color w:val="000000"/>
          <w:sz w:val="20"/>
          <w:szCs w:val="20"/>
        </w:rPr>
        <w:t xml:space="preserve"> no separables del inmuebl</w:t>
      </w:r>
      <w:r w:rsidR="00D060E1" w:rsidRPr="00EB025B">
        <w:rPr>
          <w:rFonts w:ascii="Arial" w:hAnsi="Arial" w:cs="Arial"/>
          <w:color w:val="000000"/>
          <w:sz w:val="20"/>
          <w:szCs w:val="20"/>
        </w:rPr>
        <w:t xml:space="preserve">e, </w:t>
      </w:r>
      <w:r w:rsidR="000E19EF" w:rsidRPr="00EB025B">
        <w:rPr>
          <w:rFonts w:ascii="Arial" w:hAnsi="Arial" w:cs="Arial"/>
          <w:color w:val="000000"/>
          <w:sz w:val="20"/>
          <w:szCs w:val="20"/>
        </w:rPr>
        <w:t xml:space="preserve">se ha ajustado </w:t>
      </w:r>
      <w:r w:rsidR="00D060E1" w:rsidRPr="00EB025B">
        <w:rPr>
          <w:rFonts w:ascii="Arial" w:hAnsi="Arial" w:cs="Arial"/>
          <w:color w:val="000000"/>
          <w:sz w:val="20"/>
          <w:szCs w:val="20"/>
        </w:rPr>
        <w:t>en función del vencimiento de contrato de arrendamiento.</w:t>
      </w:r>
    </w:p>
    <w:p w14:paraId="6BF29FB0" w14:textId="77777777" w:rsidR="0038767E" w:rsidRPr="00EB025B" w:rsidRDefault="0038767E"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Con fecha 22 de mayo de 2006 la Sociedad suscri</w:t>
      </w:r>
      <w:r w:rsidR="006073C1" w:rsidRPr="00EB025B">
        <w:rPr>
          <w:rFonts w:ascii="Arial" w:hAnsi="Arial" w:cs="Arial"/>
          <w:color w:val="000000"/>
          <w:sz w:val="20"/>
          <w:szCs w:val="20"/>
        </w:rPr>
        <w:t>bió</w:t>
      </w:r>
      <w:r w:rsidRPr="00EB025B">
        <w:rPr>
          <w:rFonts w:ascii="Arial" w:hAnsi="Arial" w:cs="Arial"/>
          <w:color w:val="000000"/>
          <w:sz w:val="20"/>
          <w:szCs w:val="20"/>
        </w:rPr>
        <w:t xml:space="preserve"> un contrato de arrendamiento de una edificación para la comercialización en origen de productos alimenticios, con una su</w:t>
      </w:r>
      <w:r w:rsidR="00CD455A" w:rsidRPr="00EB025B">
        <w:rPr>
          <w:rFonts w:ascii="Arial" w:hAnsi="Arial" w:cs="Arial"/>
          <w:color w:val="000000"/>
          <w:sz w:val="20"/>
          <w:szCs w:val="20"/>
        </w:rPr>
        <w:t xml:space="preserve">perficie útil total de 3.320 m2. Con fecha 1 de febrero de 2017 se firmó una modificación del </w:t>
      </w:r>
      <w:r w:rsidR="0071676A" w:rsidRPr="00EB025B">
        <w:rPr>
          <w:rFonts w:ascii="Arial" w:hAnsi="Arial" w:cs="Arial"/>
          <w:color w:val="000000"/>
          <w:sz w:val="20"/>
          <w:szCs w:val="20"/>
        </w:rPr>
        <w:t xml:space="preserve">citado </w:t>
      </w:r>
      <w:r w:rsidR="00CD455A" w:rsidRPr="00EB025B">
        <w:rPr>
          <w:rFonts w:ascii="Arial" w:hAnsi="Arial" w:cs="Arial"/>
          <w:color w:val="000000"/>
          <w:sz w:val="20"/>
          <w:szCs w:val="20"/>
        </w:rPr>
        <w:t>contrato estableciendo el plazo</w:t>
      </w:r>
      <w:r w:rsidRPr="00EB025B">
        <w:rPr>
          <w:rFonts w:ascii="Arial" w:hAnsi="Arial" w:cs="Arial"/>
          <w:color w:val="000000"/>
          <w:sz w:val="20"/>
          <w:szCs w:val="20"/>
        </w:rPr>
        <w:t xml:space="preserve"> </w:t>
      </w:r>
      <w:r w:rsidR="00CD455A" w:rsidRPr="00EB025B">
        <w:rPr>
          <w:rFonts w:ascii="Arial" w:hAnsi="Arial" w:cs="Arial"/>
          <w:color w:val="000000"/>
          <w:sz w:val="20"/>
          <w:szCs w:val="20"/>
        </w:rPr>
        <w:t>de duración del arrendamiento en</w:t>
      </w:r>
      <w:r w:rsidRPr="00EB025B">
        <w:rPr>
          <w:rFonts w:ascii="Arial" w:hAnsi="Arial" w:cs="Arial"/>
          <w:color w:val="000000"/>
          <w:sz w:val="20"/>
          <w:szCs w:val="20"/>
        </w:rPr>
        <w:t xml:space="preserve"> </w:t>
      </w:r>
      <w:r w:rsidR="00CD455A" w:rsidRPr="00EB025B">
        <w:rPr>
          <w:rFonts w:ascii="Arial" w:hAnsi="Arial" w:cs="Arial"/>
          <w:color w:val="000000"/>
          <w:sz w:val="20"/>
          <w:szCs w:val="20"/>
        </w:rPr>
        <w:t>30</w:t>
      </w:r>
      <w:r w:rsidRPr="00EB025B">
        <w:rPr>
          <w:rFonts w:ascii="Arial" w:hAnsi="Arial" w:cs="Arial"/>
          <w:color w:val="000000"/>
          <w:sz w:val="20"/>
          <w:szCs w:val="20"/>
        </w:rPr>
        <w:t xml:space="preserve"> años </w:t>
      </w:r>
      <w:r w:rsidR="00CD455A" w:rsidRPr="00EB025B">
        <w:rPr>
          <w:rFonts w:ascii="Arial" w:hAnsi="Arial" w:cs="Arial"/>
          <w:color w:val="000000"/>
          <w:sz w:val="20"/>
          <w:szCs w:val="20"/>
        </w:rPr>
        <w:t>contados a partir de julio de 2008</w:t>
      </w:r>
      <w:r w:rsidRPr="00EB025B">
        <w:rPr>
          <w:rFonts w:ascii="Arial" w:hAnsi="Arial" w:cs="Arial"/>
          <w:color w:val="000000"/>
          <w:sz w:val="20"/>
          <w:szCs w:val="20"/>
        </w:rPr>
        <w:t xml:space="preserve">, prorrogables hasta cinco veces por periodos de cinco años. </w:t>
      </w:r>
      <w:r w:rsidR="00442346" w:rsidRPr="00EB025B">
        <w:rPr>
          <w:rFonts w:ascii="Arial" w:hAnsi="Arial" w:cs="Arial"/>
          <w:color w:val="000000"/>
          <w:sz w:val="20"/>
          <w:szCs w:val="20"/>
        </w:rPr>
        <w:t xml:space="preserve">No obstante, a la fecha actual no existe intención por parte de los administradores de utilizar </w:t>
      </w:r>
      <w:r w:rsidR="004306BE" w:rsidRPr="00EB025B">
        <w:rPr>
          <w:rFonts w:ascii="Arial" w:hAnsi="Arial" w:cs="Arial"/>
          <w:color w:val="000000"/>
          <w:sz w:val="20"/>
          <w:szCs w:val="20"/>
        </w:rPr>
        <w:t xml:space="preserve">todas </w:t>
      </w:r>
      <w:r w:rsidR="00442346" w:rsidRPr="00EB025B">
        <w:rPr>
          <w:rFonts w:ascii="Arial" w:hAnsi="Arial" w:cs="Arial"/>
          <w:color w:val="000000"/>
          <w:sz w:val="20"/>
          <w:szCs w:val="20"/>
        </w:rPr>
        <w:t xml:space="preserve">las prórrogas del contrato. </w:t>
      </w:r>
      <w:r w:rsidRPr="00EB025B">
        <w:rPr>
          <w:rFonts w:ascii="Arial" w:hAnsi="Arial" w:cs="Arial"/>
          <w:color w:val="000000"/>
          <w:sz w:val="20"/>
          <w:szCs w:val="20"/>
        </w:rPr>
        <w:t>En caso de cancelación anticipada a la expiración del término o de cualquiera de sus prórrogas por causas imputables a la Sociedad, deberá satisfacer</w:t>
      </w:r>
      <w:r w:rsidR="00CD455A" w:rsidRPr="00EB025B">
        <w:rPr>
          <w:rFonts w:ascii="Arial" w:hAnsi="Arial" w:cs="Arial"/>
          <w:color w:val="000000"/>
          <w:sz w:val="20"/>
          <w:szCs w:val="20"/>
        </w:rPr>
        <w:t>se</w:t>
      </w:r>
      <w:r w:rsidRPr="00EB025B">
        <w:rPr>
          <w:rFonts w:ascii="Arial" w:hAnsi="Arial" w:cs="Arial"/>
          <w:color w:val="000000"/>
          <w:sz w:val="20"/>
          <w:szCs w:val="20"/>
        </w:rPr>
        <w:t xml:space="preserve"> al arrendador dos meses de renta por año que reste hasta la </w:t>
      </w:r>
      <w:r w:rsidR="00BD03C1" w:rsidRPr="00EB025B">
        <w:rPr>
          <w:rFonts w:ascii="Arial" w:hAnsi="Arial" w:cs="Arial"/>
          <w:color w:val="000000"/>
          <w:sz w:val="20"/>
          <w:szCs w:val="20"/>
        </w:rPr>
        <w:t>finalización del contrato de pró</w:t>
      </w:r>
      <w:r w:rsidRPr="00EB025B">
        <w:rPr>
          <w:rFonts w:ascii="Arial" w:hAnsi="Arial" w:cs="Arial"/>
          <w:color w:val="000000"/>
          <w:sz w:val="20"/>
          <w:szCs w:val="20"/>
        </w:rPr>
        <w:t>rroga</w:t>
      </w:r>
      <w:r w:rsidR="00CD455A" w:rsidRPr="00EB025B">
        <w:rPr>
          <w:rFonts w:ascii="Arial" w:hAnsi="Arial" w:cs="Arial"/>
          <w:color w:val="000000"/>
          <w:sz w:val="20"/>
          <w:szCs w:val="20"/>
        </w:rPr>
        <w:t xml:space="preserve">, además de una nueva indemnización adicional </w:t>
      </w:r>
      <w:r w:rsidR="0071676A" w:rsidRPr="00EB025B">
        <w:rPr>
          <w:rFonts w:ascii="Arial" w:hAnsi="Arial" w:cs="Arial"/>
          <w:color w:val="000000"/>
          <w:sz w:val="20"/>
          <w:szCs w:val="20"/>
        </w:rPr>
        <w:t xml:space="preserve">decreciente </w:t>
      </w:r>
      <w:r w:rsidR="00CD455A" w:rsidRPr="00EB025B">
        <w:rPr>
          <w:rFonts w:ascii="Arial" w:hAnsi="Arial" w:cs="Arial"/>
          <w:color w:val="000000"/>
          <w:sz w:val="20"/>
          <w:szCs w:val="20"/>
        </w:rPr>
        <w:t>establecida en la dicha modificación</w:t>
      </w:r>
      <w:r w:rsidRPr="00EB025B">
        <w:rPr>
          <w:rFonts w:ascii="Arial" w:hAnsi="Arial" w:cs="Arial"/>
          <w:color w:val="000000"/>
          <w:sz w:val="20"/>
          <w:szCs w:val="20"/>
        </w:rPr>
        <w:t>.</w:t>
      </w:r>
    </w:p>
    <w:p w14:paraId="76A049FC" w14:textId="161B46CF" w:rsidR="00747823" w:rsidRPr="00A031C0" w:rsidRDefault="00747823" w:rsidP="00DB5CFA">
      <w:pPr>
        <w:widowControl w:val="0"/>
        <w:autoSpaceDE w:val="0"/>
        <w:autoSpaceDN w:val="0"/>
        <w:adjustRightInd w:val="0"/>
        <w:spacing w:before="240"/>
        <w:rPr>
          <w:rFonts w:cs="Arial"/>
          <w:color w:val="000000"/>
        </w:rPr>
      </w:pPr>
      <w:r w:rsidRPr="00A031C0">
        <w:rPr>
          <w:rFonts w:cs="Arial"/>
          <w:color w:val="000000"/>
        </w:rPr>
        <w:t>El día 10 de junio de 2023 se produjo un incendio en la nave Multiusos nº 15, arrendada por la Sociedad a Mercalaspalmas S.A.S.M.E localizada en C/ Cuesta Ramón s/n</w:t>
      </w:r>
      <w:r w:rsidR="00F63FC8" w:rsidRPr="00A031C0">
        <w:rPr>
          <w:rFonts w:cs="Arial"/>
          <w:color w:val="000000"/>
        </w:rPr>
        <w:t>, Las Palmas de Gran Canaria, iniciándose en la nave nº 15 y afectando también a las naves nº 17 y 18.</w:t>
      </w:r>
    </w:p>
    <w:p w14:paraId="168A65F4" w14:textId="3DF99E35" w:rsidR="00F63FC8" w:rsidRPr="00A031C0" w:rsidRDefault="00F63FC8" w:rsidP="00DB5CFA">
      <w:pPr>
        <w:widowControl w:val="0"/>
        <w:autoSpaceDE w:val="0"/>
        <w:autoSpaceDN w:val="0"/>
        <w:adjustRightInd w:val="0"/>
        <w:spacing w:before="240"/>
        <w:rPr>
          <w:rFonts w:cs="Arial"/>
          <w:color w:val="000000"/>
        </w:rPr>
      </w:pPr>
      <w:r w:rsidRPr="00A031C0">
        <w:rPr>
          <w:rFonts w:cs="Arial"/>
          <w:color w:val="000000"/>
        </w:rPr>
        <w:t>Como consecuencia de dicho incendio, los referidos módulos han quedado inhabilitados para su ocupación y el uso para el que fueron arrendados, por lo que, en virtud de la Ley 296/1994, de 24 de noviembre, de Arrendamientos Urbanos, se solicitó la suspensión de los contratos a partir de la fecha del siniestro, lo que ha supuesto la paralización del plazo de los contratos y la suspensión de la obligación de pago de renta hasta la finalización de las obras de rehabilitación.</w:t>
      </w:r>
    </w:p>
    <w:p w14:paraId="7647DFB3" w14:textId="1E71FBE4" w:rsidR="00747823" w:rsidRPr="00F63FC8" w:rsidRDefault="00A12DF7" w:rsidP="00DB5CFA">
      <w:pPr>
        <w:widowControl w:val="0"/>
        <w:autoSpaceDE w:val="0"/>
        <w:autoSpaceDN w:val="0"/>
        <w:adjustRightInd w:val="0"/>
        <w:spacing w:before="240"/>
        <w:rPr>
          <w:rFonts w:cs="Arial"/>
          <w:color w:val="000000"/>
        </w:rPr>
      </w:pPr>
      <w:r w:rsidRPr="00A031C0">
        <w:rPr>
          <w:rFonts w:cs="Arial"/>
          <w:color w:val="000000"/>
        </w:rPr>
        <w:t xml:space="preserve">La Sociedad ha arrendado </w:t>
      </w:r>
      <w:r w:rsidR="007D0EB9" w:rsidRPr="00A031C0">
        <w:rPr>
          <w:rFonts w:cs="Arial"/>
          <w:color w:val="000000"/>
        </w:rPr>
        <w:t xml:space="preserve">de forma temporal, hasta poder disponer de las instalaciones rehabilitadas, </w:t>
      </w:r>
      <w:r w:rsidR="00A031C0" w:rsidRPr="00A031C0">
        <w:rPr>
          <w:rFonts w:cs="Arial"/>
          <w:color w:val="000000"/>
        </w:rPr>
        <w:t xml:space="preserve">dos módulos </w:t>
      </w:r>
      <w:r w:rsidR="00A031C0">
        <w:rPr>
          <w:rFonts w:cs="Arial"/>
          <w:color w:val="000000"/>
        </w:rPr>
        <w:t xml:space="preserve">ubicados </w:t>
      </w:r>
      <w:r w:rsidR="007D0EB9" w:rsidRPr="00A031C0">
        <w:rPr>
          <w:rFonts w:cs="Arial"/>
          <w:color w:val="000000"/>
        </w:rPr>
        <w:t xml:space="preserve">en Mercalaspalmas para seguir ejerciendo con normalidad la actividad que </w:t>
      </w:r>
      <w:r w:rsidR="00AD23E8" w:rsidRPr="00A031C0">
        <w:rPr>
          <w:rFonts w:cs="Arial"/>
          <w:color w:val="000000"/>
        </w:rPr>
        <w:t>venía</w:t>
      </w:r>
      <w:r w:rsidR="007D0EB9" w:rsidRPr="00A031C0">
        <w:rPr>
          <w:rFonts w:cs="Arial"/>
          <w:color w:val="000000"/>
        </w:rPr>
        <w:t xml:space="preserve"> realizando.</w:t>
      </w:r>
    </w:p>
    <w:p w14:paraId="55E506AB" w14:textId="7E4348AC" w:rsidR="00352ED5" w:rsidRPr="001C2FF6" w:rsidRDefault="00352ED5" w:rsidP="00DB5CFA">
      <w:pPr>
        <w:widowControl w:val="0"/>
        <w:autoSpaceDE w:val="0"/>
        <w:autoSpaceDN w:val="0"/>
        <w:adjustRightInd w:val="0"/>
        <w:spacing w:before="240"/>
        <w:rPr>
          <w:rFonts w:cs="Arial"/>
          <w:color w:val="000000"/>
        </w:rPr>
      </w:pPr>
      <w:r w:rsidRPr="001C2FF6">
        <w:rPr>
          <w:rFonts w:cs="Arial"/>
          <w:color w:val="000000"/>
        </w:rPr>
        <w:t>Los pagos futuros mínimos de</w:t>
      </w:r>
      <w:r w:rsidR="00B943FA" w:rsidRPr="001C2FF6">
        <w:rPr>
          <w:rFonts w:cs="Arial"/>
          <w:color w:val="000000"/>
        </w:rPr>
        <w:t xml:space="preserve"> </w:t>
      </w:r>
      <w:r w:rsidRPr="001C2FF6">
        <w:rPr>
          <w:rFonts w:cs="Arial"/>
          <w:color w:val="000000"/>
        </w:rPr>
        <w:t>l</w:t>
      </w:r>
      <w:r w:rsidR="00B943FA" w:rsidRPr="001C2FF6">
        <w:rPr>
          <w:rFonts w:cs="Arial"/>
          <w:color w:val="000000"/>
        </w:rPr>
        <w:t>os diferentes</w:t>
      </w:r>
      <w:r w:rsidRPr="001C2FF6">
        <w:rPr>
          <w:rFonts w:cs="Arial"/>
          <w:color w:val="000000"/>
        </w:rPr>
        <w:t xml:space="preserve"> contrato</w:t>
      </w:r>
      <w:r w:rsidR="00B943FA" w:rsidRPr="001C2FF6">
        <w:rPr>
          <w:rFonts w:cs="Arial"/>
          <w:color w:val="000000"/>
        </w:rPr>
        <w:t>s</w:t>
      </w:r>
      <w:r w:rsidRPr="001C2FF6">
        <w:rPr>
          <w:rFonts w:cs="Arial"/>
          <w:color w:val="000000"/>
        </w:rPr>
        <w:t xml:space="preserve"> de </w:t>
      </w:r>
      <w:r w:rsidR="00B943FA" w:rsidRPr="001C2FF6">
        <w:rPr>
          <w:rFonts w:cs="Arial"/>
          <w:color w:val="000000"/>
        </w:rPr>
        <w:t>arrendamientos no cancelables</w:t>
      </w:r>
      <w:r w:rsidRPr="001C2FF6">
        <w:rPr>
          <w:rFonts w:cs="Arial"/>
          <w:color w:val="000000"/>
        </w:rPr>
        <w:t xml:space="preserve"> </w:t>
      </w:r>
      <w:r w:rsidR="00B943FA" w:rsidRPr="001C2FF6">
        <w:rPr>
          <w:rFonts w:cs="Arial"/>
          <w:color w:val="000000"/>
        </w:rPr>
        <w:t xml:space="preserve">que posee </w:t>
      </w:r>
      <w:r w:rsidR="00B943FA" w:rsidRPr="001C2FF6">
        <w:rPr>
          <w:rFonts w:cs="Arial"/>
          <w:color w:val="000000"/>
        </w:rPr>
        <w:lastRenderedPageBreak/>
        <w:t xml:space="preserve">la Sociedad </w:t>
      </w:r>
      <w:r w:rsidRPr="001C2FF6">
        <w:rPr>
          <w:rFonts w:cs="Arial"/>
          <w:color w:val="000000"/>
        </w:rPr>
        <w:t>al 31 de diciembre son los siguientes:</w:t>
      </w:r>
    </w:p>
    <w:p w14:paraId="7B110826" w14:textId="57729715" w:rsidR="00274523" w:rsidRDefault="00274523" w:rsidP="00352ED5">
      <w:pPr>
        <w:widowControl w:val="0"/>
        <w:autoSpaceDE w:val="0"/>
        <w:autoSpaceDN w:val="0"/>
        <w:adjustRightInd w:val="0"/>
        <w:rPr>
          <w:rFonts w:cs="Arial"/>
          <w:color w:val="000000"/>
        </w:rPr>
      </w:pPr>
    </w:p>
    <w:p w14:paraId="621AF571" w14:textId="77777777" w:rsidR="00274523" w:rsidRPr="001C2FF6" w:rsidRDefault="00274523" w:rsidP="00352ED5">
      <w:pPr>
        <w:widowControl w:val="0"/>
        <w:autoSpaceDE w:val="0"/>
        <w:autoSpaceDN w:val="0"/>
        <w:adjustRightInd w:val="0"/>
        <w:rPr>
          <w:rFonts w:cs="Arial"/>
          <w:color w:val="000000"/>
        </w:rPr>
      </w:pPr>
    </w:p>
    <w:bookmarkStart w:id="20" w:name="_MON_1390389590"/>
    <w:bookmarkStart w:id="21" w:name="_MON_1390991889"/>
    <w:bookmarkEnd w:id="20"/>
    <w:bookmarkEnd w:id="21"/>
    <w:bookmarkStart w:id="22" w:name="_MON_1390991961"/>
    <w:bookmarkEnd w:id="22"/>
    <w:p w14:paraId="36C66825" w14:textId="610333B3" w:rsidR="00F3595D" w:rsidRPr="001B3E76" w:rsidRDefault="003C6BFA" w:rsidP="00D43417">
      <w:pPr>
        <w:widowControl w:val="0"/>
        <w:autoSpaceDE w:val="0"/>
        <w:autoSpaceDN w:val="0"/>
        <w:adjustRightInd w:val="0"/>
        <w:jc w:val="center"/>
        <w:rPr>
          <w:rFonts w:cs="Arial"/>
          <w:color w:val="000000"/>
        </w:rPr>
      </w:pPr>
      <w:r w:rsidRPr="009F38BE">
        <w:rPr>
          <w:rFonts w:cs="Arial"/>
          <w:color w:val="000000"/>
        </w:rPr>
        <w:object w:dxaOrig="6163" w:dyaOrig="1721" w14:anchorId="261E3052">
          <v:shape id="_x0000_i1033" type="#_x0000_t75" style="width:309.5pt;height:86.95pt" o:ole="">
            <v:imagedata r:id="rId34" o:title=""/>
          </v:shape>
          <o:OLEObject Type="Embed" ProgID="Excel.Sheet.8" ShapeID="_x0000_i1033" DrawAspect="Content" ObjectID="_1805087268" r:id="rId35"/>
        </w:object>
      </w:r>
    </w:p>
    <w:p w14:paraId="74961B12" w14:textId="77777777" w:rsidR="00352ED5" w:rsidRPr="00F61488" w:rsidRDefault="007279CF" w:rsidP="00E65878">
      <w:pPr>
        <w:widowControl w:val="0"/>
        <w:autoSpaceDE w:val="0"/>
        <w:autoSpaceDN w:val="0"/>
        <w:adjustRightInd w:val="0"/>
        <w:spacing w:before="360"/>
        <w:rPr>
          <w:rFonts w:cs="Arial"/>
          <w:b/>
          <w:color w:val="000000"/>
        </w:rPr>
      </w:pPr>
      <w:r w:rsidRPr="001B3E76">
        <w:rPr>
          <w:rFonts w:cs="Arial"/>
          <w:b/>
          <w:color w:val="000000"/>
        </w:rPr>
        <w:t>6.3</w:t>
      </w:r>
      <w:r w:rsidRPr="001B3E76">
        <w:rPr>
          <w:rFonts w:cs="Arial"/>
          <w:b/>
          <w:color w:val="000000"/>
        </w:rPr>
        <w:tab/>
        <w:t>Otra información</w:t>
      </w:r>
    </w:p>
    <w:p w14:paraId="3D997441" w14:textId="017FB1F3" w:rsidR="008C68D3" w:rsidRPr="00B422D1" w:rsidRDefault="008C68D3" w:rsidP="008C68D3">
      <w:pPr>
        <w:widowControl w:val="0"/>
        <w:autoSpaceDE w:val="0"/>
        <w:autoSpaceDN w:val="0"/>
        <w:adjustRightInd w:val="0"/>
        <w:spacing w:before="240"/>
        <w:rPr>
          <w:rFonts w:cs="Arial"/>
          <w:color w:val="000000"/>
        </w:rPr>
      </w:pPr>
      <w:r w:rsidRPr="00B422D1">
        <w:rPr>
          <w:rFonts w:cs="Arial"/>
          <w:color w:val="000000"/>
        </w:rPr>
        <w:t xml:space="preserve">El detalle de los activos materiales totalmente amortizados </w:t>
      </w:r>
      <w:r w:rsidR="00551459" w:rsidRPr="00B422D1">
        <w:rPr>
          <w:rFonts w:cs="Arial"/>
          <w:color w:val="000000"/>
        </w:rPr>
        <w:t xml:space="preserve">y en uso </w:t>
      </w:r>
      <w:r w:rsidRPr="00B422D1">
        <w:rPr>
          <w:rFonts w:cs="Arial"/>
          <w:color w:val="000000"/>
        </w:rPr>
        <w:t>al 31 de diciembre es el siguiente:</w:t>
      </w:r>
    </w:p>
    <w:p w14:paraId="1E3BD4D6" w14:textId="77777777" w:rsidR="003B133E" w:rsidRPr="00B422D1" w:rsidRDefault="003B133E" w:rsidP="008C68D3">
      <w:pPr>
        <w:widowControl w:val="0"/>
        <w:autoSpaceDE w:val="0"/>
        <w:autoSpaceDN w:val="0"/>
        <w:adjustRightInd w:val="0"/>
        <w:jc w:val="right"/>
        <w:rPr>
          <w:rFonts w:cs="Arial"/>
          <w:color w:val="000000"/>
        </w:rPr>
      </w:pPr>
    </w:p>
    <w:bookmarkStart w:id="23" w:name="_MON_1390305055"/>
    <w:bookmarkEnd w:id="23"/>
    <w:p w14:paraId="01671C9C" w14:textId="1E0DBEA9" w:rsidR="008C68D3" w:rsidRPr="00155613" w:rsidRDefault="00B422D1" w:rsidP="00C450F8">
      <w:pPr>
        <w:widowControl w:val="0"/>
        <w:autoSpaceDE w:val="0"/>
        <w:autoSpaceDN w:val="0"/>
        <w:adjustRightInd w:val="0"/>
        <w:jc w:val="center"/>
        <w:rPr>
          <w:rFonts w:cs="Arial"/>
          <w:color w:val="000000"/>
        </w:rPr>
      </w:pPr>
      <w:r w:rsidRPr="00B422D1">
        <w:rPr>
          <w:rFonts w:cs="Arial"/>
          <w:color w:val="000000"/>
        </w:rPr>
        <w:object w:dxaOrig="7320" w:dyaOrig="1865" w14:anchorId="6F306DB6">
          <v:shape id="_x0000_i1034" type="#_x0000_t75" style="width:333.8pt;height:83.2pt" o:ole="">
            <v:imagedata r:id="rId36" o:title=""/>
          </v:shape>
          <o:OLEObject Type="Embed" ProgID="Excel.Sheet.8" ShapeID="_x0000_i1034" DrawAspect="Content" ObjectID="_1805087269" r:id="rId37"/>
        </w:object>
      </w:r>
    </w:p>
    <w:p w14:paraId="304EE4BB" w14:textId="77777777" w:rsidR="00AC751B" w:rsidRDefault="00AC751B" w:rsidP="00D27387">
      <w:pPr>
        <w:widowControl w:val="0"/>
        <w:autoSpaceDE w:val="0"/>
        <w:autoSpaceDN w:val="0"/>
        <w:adjustRightInd w:val="0"/>
        <w:spacing w:before="240"/>
        <w:rPr>
          <w:rFonts w:cs="Arial"/>
          <w:color w:val="000000"/>
        </w:rPr>
      </w:pPr>
      <w:bookmarkStart w:id="24" w:name="_MON_1547981211"/>
      <w:bookmarkEnd w:id="24"/>
    </w:p>
    <w:p w14:paraId="6BC139B4" w14:textId="28D28BEE" w:rsidR="00D27387" w:rsidRPr="00304FE4" w:rsidRDefault="008C68D3" w:rsidP="00D27387">
      <w:pPr>
        <w:widowControl w:val="0"/>
        <w:autoSpaceDE w:val="0"/>
        <w:autoSpaceDN w:val="0"/>
        <w:adjustRightInd w:val="0"/>
        <w:spacing w:before="240"/>
        <w:rPr>
          <w:rFonts w:cs="Arial"/>
          <w:color w:val="000000"/>
        </w:rPr>
      </w:pPr>
      <w:r w:rsidRPr="00155613">
        <w:rPr>
          <w:rFonts w:cs="Arial"/>
          <w:color w:val="000000"/>
        </w:rPr>
        <w:t>La Sociedad tiene contratadas pólizas de seguros que cubren el valor</w:t>
      </w:r>
      <w:r w:rsidRPr="00304FE4">
        <w:rPr>
          <w:rFonts w:cs="Arial"/>
          <w:color w:val="000000"/>
        </w:rPr>
        <w:t xml:space="preserve"> neto contable del inmovilizado material.</w:t>
      </w:r>
    </w:p>
    <w:p w14:paraId="18A7248B" w14:textId="065C7577" w:rsidR="00BA264E" w:rsidRDefault="008A42B6" w:rsidP="00BA264E">
      <w:pPr>
        <w:widowControl w:val="0"/>
        <w:autoSpaceDE w:val="0"/>
        <w:autoSpaceDN w:val="0"/>
        <w:adjustRightInd w:val="0"/>
        <w:spacing w:before="240"/>
        <w:rPr>
          <w:rFonts w:cs="Arial"/>
          <w:color w:val="000000"/>
        </w:rPr>
      </w:pPr>
      <w:r w:rsidRPr="00237ED9">
        <w:rPr>
          <w:rFonts w:cs="Arial"/>
          <w:color w:val="000000"/>
        </w:rPr>
        <w:t>A 31 de diciembre de 20</w:t>
      </w:r>
      <w:r w:rsidR="00F6242D">
        <w:rPr>
          <w:rFonts w:cs="Arial"/>
          <w:color w:val="000000"/>
        </w:rPr>
        <w:t>2</w:t>
      </w:r>
      <w:r w:rsidR="000B2A68">
        <w:rPr>
          <w:rFonts w:cs="Arial"/>
          <w:color w:val="000000"/>
        </w:rPr>
        <w:t>4</w:t>
      </w:r>
      <w:r w:rsidRPr="00237ED9">
        <w:rPr>
          <w:rFonts w:cs="Arial"/>
          <w:color w:val="000000"/>
        </w:rPr>
        <w:t xml:space="preserve"> </w:t>
      </w:r>
      <w:r w:rsidR="00EE4CBD">
        <w:rPr>
          <w:rFonts w:cs="Arial"/>
          <w:color w:val="000000"/>
        </w:rPr>
        <w:t>y 202</w:t>
      </w:r>
      <w:r w:rsidR="000B2A68">
        <w:rPr>
          <w:rFonts w:cs="Arial"/>
          <w:color w:val="000000"/>
        </w:rPr>
        <w:t>3</w:t>
      </w:r>
      <w:r w:rsidR="00EE4CBD">
        <w:rPr>
          <w:rFonts w:cs="Arial"/>
          <w:color w:val="000000"/>
        </w:rPr>
        <w:t xml:space="preserve"> </w:t>
      </w:r>
      <w:r w:rsidR="008A4AF7">
        <w:rPr>
          <w:rFonts w:cs="Arial"/>
          <w:color w:val="000000"/>
        </w:rPr>
        <w:t>no había i</w:t>
      </w:r>
      <w:r w:rsidR="008B4BF6" w:rsidRPr="00237ED9">
        <w:rPr>
          <w:rFonts w:cs="Arial"/>
          <w:color w:val="000000"/>
        </w:rPr>
        <w:t>nmovilizado material no afecto a la explotación</w:t>
      </w:r>
      <w:r w:rsidR="00BA264E">
        <w:rPr>
          <w:rFonts w:cs="Arial"/>
          <w:color w:val="000000"/>
        </w:rPr>
        <w:t>.</w:t>
      </w:r>
      <w:r w:rsidR="007B761C" w:rsidRPr="007B761C">
        <w:rPr>
          <w:rFonts w:cs="Arial"/>
          <w:b/>
          <w:color w:val="FF0000"/>
        </w:rPr>
        <w:t xml:space="preserve"> </w:t>
      </w:r>
    </w:p>
    <w:p w14:paraId="1191DF15" w14:textId="77777777" w:rsidR="00BA264E" w:rsidRDefault="00BA264E" w:rsidP="00BA264E">
      <w:pPr>
        <w:widowControl w:val="0"/>
        <w:autoSpaceDE w:val="0"/>
        <w:autoSpaceDN w:val="0"/>
        <w:adjustRightInd w:val="0"/>
        <w:spacing w:before="240"/>
        <w:rPr>
          <w:rFonts w:cs="Arial"/>
          <w:b/>
          <w:highlight w:val="red"/>
        </w:rPr>
      </w:pPr>
    </w:p>
    <w:p w14:paraId="787AE70F" w14:textId="5F31B8F8" w:rsidR="00D563D4" w:rsidRDefault="00D563D4" w:rsidP="00BA264E">
      <w:pPr>
        <w:widowControl w:val="0"/>
        <w:autoSpaceDE w:val="0"/>
        <w:autoSpaceDN w:val="0"/>
        <w:adjustRightInd w:val="0"/>
        <w:spacing w:before="240"/>
        <w:rPr>
          <w:rFonts w:cs="Arial"/>
          <w:b/>
        </w:rPr>
      </w:pPr>
      <w:r w:rsidRPr="005B0347">
        <w:rPr>
          <w:rFonts w:cs="Arial"/>
          <w:b/>
        </w:rPr>
        <w:t>7.</w:t>
      </w:r>
      <w:r w:rsidRPr="005B0347">
        <w:rPr>
          <w:rFonts w:cs="Arial"/>
          <w:b/>
        </w:rPr>
        <w:tab/>
        <w:t>INVERSIONES INMOBILIARIAS</w:t>
      </w:r>
    </w:p>
    <w:p w14:paraId="1DFF3106" w14:textId="77777777" w:rsidR="00424CAA" w:rsidRDefault="00424CAA" w:rsidP="00EC2D1F">
      <w:pPr>
        <w:rPr>
          <w:noProof/>
        </w:rPr>
      </w:pPr>
    </w:p>
    <w:p w14:paraId="62086F58" w14:textId="77777777" w:rsidR="00424CAA" w:rsidRPr="00504D11" w:rsidRDefault="00424CAA" w:rsidP="00EC2D1F">
      <w:pPr>
        <w:rPr>
          <w:rFonts w:cs="Arial"/>
          <w:color w:val="000000"/>
        </w:rPr>
      </w:pPr>
      <w:r w:rsidRPr="00504D11">
        <w:rPr>
          <w:rFonts w:cs="Arial"/>
          <w:color w:val="000000"/>
        </w:rPr>
        <w:t>El detalle y los movimientos de las distintas partidas que componen las inversiones inmobiliarias son los siguientes:</w:t>
      </w:r>
    </w:p>
    <w:p w14:paraId="78A47DB3" w14:textId="4B4384D6" w:rsidR="00F6242D" w:rsidRDefault="00F6242D" w:rsidP="00EC2D1F">
      <w:pPr>
        <w:rPr>
          <w:rFonts w:cs="Arial"/>
          <w:color w:val="000000"/>
          <w:highlight w:val="yellow"/>
        </w:rPr>
      </w:pPr>
    </w:p>
    <w:p w14:paraId="59772A19" w14:textId="77777777" w:rsidR="00504D11" w:rsidRPr="0035046C" w:rsidRDefault="00504D11" w:rsidP="00EC2D1F">
      <w:pPr>
        <w:rPr>
          <w:rFonts w:cs="Arial"/>
          <w:color w:val="000000"/>
          <w:highlight w:val="yellow"/>
        </w:rPr>
      </w:pPr>
    </w:p>
    <w:bookmarkStart w:id="25" w:name="_MON_1677306583"/>
    <w:bookmarkEnd w:id="25"/>
    <w:p w14:paraId="4B96D47A" w14:textId="42AC1FAA" w:rsidR="00F6242D" w:rsidRPr="0035046C" w:rsidRDefault="008355DF" w:rsidP="00504D11">
      <w:pPr>
        <w:jc w:val="center"/>
        <w:rPr>
          <w:rFonts w:cs="Arial"/>
          <w:color w:val="000000"/>
          <w:highlight w:val="yellow"/>
        </w:rPr>
      </w:pPr>
      <w:r w:rsidRPr="00527826">
        <w:rPr>
          <w:rFonts w:cs="Arial"/>
          <w:b/>
          <w:bCs/>
          <w:color w:val="000000"/>
          <w:sz w:val="14"/>
          <w:szCs w:val="14"/>
          <w:lang w:val="en-US"/>
        </w:rPr>
        <w:object w:dxaOrig="8631" w:dyaOrig="3734" w14:anchorId="2FEDDA9A">
          <v:shape id="_x0000_i1035" type="#_x0000_t75" style="width:399.25pt;height:174.85pt" o:ole="">
            <v:imagedata r:id="rId38" o:title=""/>
          </v:shape>
          <o:OLEObject Type="Embed" ProgID="Excel.Sheet.8" ShapeID="_x0000_i1035" DrawAspect="Content" ObjectID="_1805087270" r:id="rId39"/>
        </w:object>
      </w:r>
    </w:p>
    <w:p w14:paraId="74622C86" w14:textId="77777777" w:rsidR="00F6242D" w:rsidRPr="0035046C" w:rsidRDefault="00F6242D" w:rsidP="00EC2D1F">
      <w:pPr>
        <w:rPr>
          <w:rFonts w:cs="Arial"/>
          <w:color w:val="000000"/>
          <w:highlight w:val="yellow"/>
        </w:rPr>
      </w:pPr>
    </w:p>
    <w:p w14:paraId="1008F0DA" w14:textId="77777777" w:rsidR="00EC2D1F" w:rsidRPr="00325131" w:rsidRDefault="00EC2D1F" w:rsidP="00EC2D1F">
      <w:pPr>
        <w:spacing w:before="240"/>
        <w:rPr>
          <w:rFonts w:cs="Arial"/>
        </w:rPr>
      </w:pPr>
      <w:r w:rsidRPr="00410BFD">
        <w:rPr>
          <w:rFonts w:cs="Arial"/>
        </w:rPr>
        <w:lastRenderedPageBreak/>
        <w:t xml:space="preserve">Con fecha 8 de febrero de 2018, la Sociedad </w:t>
      </w:r>
      <w:r w:rsidR="00D47CF5" w:rsidRPr="00410BFD">
        <w:rPr>
          <w:rFonts w:cs="Arial"/>
        </w:rPr>
        <w:t>fue</w:t>
      </w:r>
      <w:r w:rsidRPr="00410BFD">
        <w:rPr>
          <w:rFonts w:cs="Arial"/>
        </w:rPr>
        <w:t xml:space="preserve"> adjudicataria en subasta, junto con otras 18 entidades, de un inmueble que era propiedad de la entidad Organización de Supermercados y Economatos de Tenerife S.A. (en adelante ORSUECO). Dicho inmueble se encuentra ubicado en el número 6 de la calle Pablo Iglesias de La Laguna y consta de tres plantas de sótano, planta baja y tres plantas altas, terminado en cubierta de azotea. El porcentaje adjudicado a la Sociedad es el 16,701% del citado inmueble. Asimismo, con fecha 28 de diciembre de 1999 la entidad Garpa Hermanos S.L. cedió a Gestión del Medio Rural de Canarias, S.A., el 33% del crédito que ostentaba frente a ORSUECO y al que le corresponde un 2,591% del citado inmueble, por lo </w:t>
      </w:r>
      <w:r w:rsidR="001E1783" w:rsidRPr="00410BFD">
        <w:rPr>
          <w:rFonts w:cs="Arial"/>
        </w:rPr>
        <w:t>tanto,</w:t>
      </w:r>
      <w:r w:rsidRPr="00410BFD">
        <w:rPr>
          <w:rFonts w:cs="Arial"/>
        </w:rPr>
        <w:t xml:space="preserve"> el porcentaje total adjudicado a la Sociedad es del 17,556% del inmueble.</w:t>
      </w:r>
    </w:p>
    <w:p w14:paraId="420C8395" w14:textId="77777777" w:rsidR="00EC2D1F" w:rsidRPr="00325131" w:rsidRDefault="00EC2D1F" w:rsidP="00EC2D1F">
      <w:pPr>
        <w:spacing w:before="240"/>
        <w:rPr>
          <w:rFonts w:cs="Arial"/>
        </w:rPr>
      </w:pPr>
      <w:r w:rsidRPr="00325131">
        <w:rPr>
          <w:rFonts w:cs="Arial"/>
        </w:rPr>
        <w:t>Esta adjudicación deviene de la deuda que ORSUECO mantenía con la Sociedad y con otros acreedores y que tenía como garantía de cobro una hipoteca sobre el citado inmueble (instrumentalizado mediante escritura pública de fecha 5 de noviembre de 1993, otorgada ante el notario Don Fernando González de Vallejo, con número de protocolo 3634, subsanada por otra el 24 de enero de 1994, ante el mismo notario).</w:t>
      </w:r>
    </w:p>
    <w:p w14:paraId="7520C14B" w14:textId="77777777" w:rsidR="00EC2D1F" w:rsidRPr="00325131" w:rsidRDefault="00EC2D1F" w:rsidP="00EC2D1F">
      <w:pPr>
        <w:spacing w:before="240"/>
        <w:rPr>
          <w:rFonts w:cs="Arial"/>
        </w:rPr>
      </w:pPr>
      <w:r w:rsidRPr="00325131">
        <w:rPr>
          <w:rFonts w:cs="Arial"/>
        </w:rPr>
        <w:t>La Sociedad había deteriorado en ejercicios anteriores la totalidad del crédito que mantenía con ORSUECO (en torno a 375 mil euros) ante el incumplimiento por parte del deudor de las obligaciones de pago y haber sido reclamado judicialmente el crédito.</w:t>
      </w:r>
    </w:p>
    <w:p w14:paraId="04A4561B" w14:textId="6D5DEC52" w:rsidR="00EC2D1F" w:rsidRDefault="00EC2D1F" w:rsidP="00EC2D1F">
      <w:pPr>
        <w:spacing w:before="240"/>
        <w:rPr>
          <w:rFonts w:cs="Arial"/>
        </w:rPr>
      </w:pPr>
      <w:r w:rsidRPr="00325131">
        <w:rPr>
          <w:rFonts w:cs="Arial"/>
        </w:rPr>
        <w:t xml:space="preserve">Al cierre de 2018, se </w:t>
      </w:r>
      <w:r w:rsidR="00D47CF5" w:rsidRPr="00325131">
        <w:rPr>
          <w:rFonts w:cs="Arial"/>
        </w:rPr>
        <w:t>registró</w:t>
      </w:r>
      <w:r w:rsidRPr="00325131">
        <w:rPr>
          <w:rFonts w:cs="Arial"/>
        </w:rPr>
        <w:t xml:space="preserve"> el activo como inversión inmobiliaria (siendo la contrapartida el epígrafe de ingresos extraordinarios de la cuenta de pérdidas y ganancias) por el importe de adjudicación, que asciende a 382.137,52 euros (50% del valor de tasación realizada por un experto independiente) y que se asimila al importe del crédito que ostentaba con ORSUECO. A la fecha de formulación de las</w:t>
      </w:r>
      <w:r w:rsidR="004306BE">
        <w:rPr>
          <w:rFonts w:cs="Arial"/>
        </w:rPr>
        <w:t xml:space="preserve"> presentes </w:t>
      </w:r>
      <w:r w:rsidRPr="00325131">
        <w:rPr>
          <w:rFonts w:cs="Arial"/>
        </w:rPr>
        <w:t xml:space="preserve">cuentas </w:t>
      </w:r>
      <w:r w:rsidRPr="00575B73">
        <w:rPr>
          <w:rFonts w:cs="Arial"/>
        </w:rPr>
        <w:t>anuales, está pendiente de inscribir en el registro de la propiedad.</w:t>
      </w:r>
      <w:r w:rsidR="004306BE" w:rsidRPr="00575B73">
        <w:rPr>
          <w:rFonts w:cs="Arial"/>
        </w:rPr>
        <w:t xml:space="preserve"> El</w:t>
      </w:r>
      <w:r w:rsidR="004306BE">
        <w:rPr>
          <w:rFonts w:cs="Arial"/>
        </w:rPr>
        <w:t xml:space="preserve"> inmueble se encuentra vacío y sin actividad alguna.</w:t>
      </w:r>
      <w:r w:rsidR="00127433">
        <w:rPr>
          <w:rFonts w:cs="Arial"/>
        </w:rPr>
        <w:t xml:space="preserve"> El superávit que originó el resultado contable de esta operación figura como una deuda a largo plazo con el accionista único (Nota 13.2), que será cancelada una vez se haya enajenado el citado inmueble.</w:t>
      </w:r>
    </w:p>
    <w:p w14:paraId="2F880707" w14:textId="77777777" w:rsidR="00424CAA" w:rsidRPr="00325131" w:rsidRDefault="00325131" w:rsidP="00710604">
      <w:pPr>
        <w:spacing w:before="240"/>
        <w:rPr>
          <w:rFonts w:cs="Arial"/>
          <w:bCs/>
        </w:rPr>
      </w:pPr>
      <w:r w:rsidRPr="00D72C61">
        <w:rPr>
          <w:rFonts w:cs="Arial"/>
          <w:bCs/>
        </w:rPr>
        <w:t>Asimismo, al cierre del ejercicio figura</w:t>
      </w:r>
      <w:r w:rsidR="00C238D3">
        <w:rPr>
          <w:rFonts w:cs="Arial"/>
          <w:bCs/>
        </w:rPr>
        <w:t>n</w:t>
      </w:r>
      <w:r w:rsidRPr="00D72C61">
        <w:rPr>
          <w:rFonts w:cs="Arial"/>
          <w:bCs/>
        </w:rPr>
        <w:t xml:space="preserve"> como inversión inmobiliaria </w:t>
      </w:r>
      <w:r w:rsidR="00504D11" w:rsidRPr="00D72C61">
        <w:rPr>
          <w:rFonts w:cs="Arial"/>
          <w:bCs/>
        </w:rPr>
        <w:t>las parcelas de terreno</w:t>
      </w:r>
      <w:r w:rsidR="00C238D3">
        <w:rPr>
          <w:rFonts w:cs="Arial"/>
          <w:bCs/>
        </w:rPr>
        <w:t xml:space="preserve"> </w:t>
      </w:r>
      <w:r w:rsidR="00504D11" w:rsidRPr="00D72C61">
        <w:rPr>
          <w:rFonts w:cs="Arial"/>
          <w:bCs/>
        </w:rPr>
        <w:t>nº A-76 y A-77 en la Ur</w:t>
      </w:r>
      <w:r w:rsidR="0041737D" w:rsidRPr="00D72C61">
        <w:rPr>
          <w:rFonts w:cs="Arial"/>
          <w:bCs/>
        </w:rPr>
        <w:t>b</w:t>
      </w:r>
      <w:r w:rsidR="00504D11" w:rsidRPr="00D72C61">
        <w:rPr>
          <w:rFonts w:cs="Arial"/>
          <w:bCs/>
        </w:rPr>
        <w:t>anización Jardín del Atlántico, en el término municipal de Arico.</w:t>
      </w:r>
      <w:r w:rsidR="0041737D" w:rsidRPr="00D72C61">
        <w:rPr>
          <w:rFonts w:cs="Arial"/>
          <w:bCs/>
        </w:rPr>
        <w:t xml:space="preserve"> Estas fincas fueron adjudicadas </w:t>
      </w:r>
      <w:r w:rsidRPr="00D72C61">
        <w:rPr>
          <w:rFonts w:cs="Arial"/>
          <w:bCs/>
        </w:rPr>
        <w:t>en subasta</w:t>
      </w:r>
      <w:r w:rsidR="0041737D" w:rsidRPr="00D72C61">
        <w:rPr>
          <w:rFonts w:cs="Arial"/>
          <w:bCs/>
        </w:rPr>
        <w:t xml:space="preserve">, el 14 de mayo de 2018, por la deuda que </w:t>
      </w:r>
      <w:r w:rsidR="004306BE">
        <w:rPr>
          <w:rFonts w:cs="Arial"/>
          <w:bCs/>
        </w:rPr>
        <w:t xml:space="preserve">el cliente </w:t>
      </w:r>
      <w:r w:rsidR="0041737D" w:rsidRPr="00D72C61">
        <w:rPr>
          <w:rFonts w:cs="Arial"/>
          <w:bCs/>
        </w:rPr>
        <w:t>Jorge Álvaro Castro mantenía con la Sociedad</w:t>
      </w:r>
      <w:r w:rsidR="00C238D3">
        <w:rPr>
          <w:rFonts w:cs="Arial"/>
          <w:bCs/>
        </w:rPr>
        <w:t xml:space="preserve"> derivada de la actividad comercial</w:t>
      </w:r>
      <w:r w:rsidR="0041737D" w:rsidRPr="00D72C61">
        <w:rPr>
          <w:rFonts w:cs="Arial"/>
          <w:bCs/>
        </w:rPr>
        <w:t>.</w:t>
      </w:r>
    </w:p>
    <w:p w14:paraId="10825A62" w14:textId="41D90E33" w:rsidR="004306BE" w:rsidRDefault="00325131" w:rsidP="00710604">
      <w:pPr>
        <w:spacing w:before="240"/>
        <w:rPr>
          <w:rFonts w:cs="Arial"/>
          <w:bCs/>
        </w:rPr>
      </w:pPr>
      <w:r w:rsidRPr="00F80D85">
        <w:rPr>
          <w:rFonts w:cs="Arial"/>
          <w:bCs/>
        </w:rPr>
        <w:t xml:space="preserve">Por otra parte, la Sociedad es propietaria de una plaza de garaje, adjudicada </w:t>
      </w:r>
      <w:r w:rsidR="00DB7C25" w:rsidRPr="00F80D85">
        <w:rPr>
          <w:rFonts w:cs="Arial"/>
          <w:bCs/>
        </w:rPr>
        <w:t>en subasta por la deuda que</w:t>
      </w:r>
      <w:r w:rsidR="004306BE">
        <w:rPr>
          <w:rFonts w:cs="Arial"/>
          <w:bCs/>
        </w:rPr>
        <w:t xml:space="preserve"> el cliente</w:t>
      </w:r>
      <w:r w:rsidR="00DB7C25" w:rsidRPr="00F80D85">
        <w:rPr>
          <w:rFonts w:cs="Arial"/>
          <w:bCs/>
        </w:rPr>
        <w:t xml:space="preserve"> Yayo Verduras SL mantenía con la Sociedad derivada de su actividad comercial</w:t>
      </w:r>
      <w:r w:rsidRPr="00F80D85">
        <w:rPr>
          <w:rFonts w:cs="Arial"/>
          <w:bCs/>
        </w:rPr>
        <w:t xml:space="preserve">. </w:t>
      </w:r>
      <w:r w:rsidR="007F37B1" w:rsidRPr="00F80D85">
        <w:rPr>
          <w:rFonts w:cs="Arial"/>
          <w:bCs/>
        </w:rPr>
        <w:t>A la fecha del cierre del ejercicio la Sociedad</w:t>
      </w:r>
      <w:r w:rsidR="00DB7C25" w:rsidRPr="00F80D85">
        <w:rPr>
          <w:rFonts w:cs="Arial"/>
          <w:bCs/>
        </w:rPr>
        <w:t>, a pesar de tener la titularidad del inmueble,</w:t>
      </w:r>
      <w:r w:rsidR="007F37B1" w:rsidRPr="00F80D85">
        <w:rPr>
          <w:rFonts w:cs="Arial"/>
          <w:bCs/>
        </w:rPr>
        <w:t xml:space="preserve"> </w:t>
      </w:r>
      <w:r w:rsidR="00DB7C25" w:rsidRPr="00F80D85">
        <w:rPr>
          <w:rFonts w:cs="Arial"/>
          <w:bCs/>
        </w:rPr>
        <w:t xml:space="preserve">no dispone </w:t>
      </w:r>
      <w:r w:rsidR="00551459">
        <w:rPr>
          <w:rFonts w:cs="Arial"/>
          <w:bCs/>
        </w:rPr>
        <w:t xml:space="preserve">de </w:t>
      </w:r>
      <w:r w:rsidR="00F80D85" w:rsidRPr="00F80D85">
        <w:rPr>
          <w:rFonts w:cs="Arial"/>
          <w:bCs/>
        </w:rPr>
        <w:t>acceso al inmueble</w:t>
      </w:r>
      <w:r w:rsidR="007F37B1" w:rsidRPr="00F80D85">
        <w:rPr>
          <w:rFonts w:cs="Arial"/>
          <w:bCs/>
        </w:rPr>
        <w:t xml:space="preserve">, </w:t>
      </w:r>
      <w:r w:rsidR="00DB7C25" w:rsidRPr="00F80D85">
        <w:rPr>
          <w:rFonts w:cs="Arial"/>
          <w:bCs/>
        </w:rPr>
        <w:t xml:space="preserve">por lo que se </w:t>
      </w:r>
      <w:r w:rsidR="007F37B1" w:rsidRPr="00F80D85">
        <w:rPr>
          <w:rFonts w:cs="Arial"/>
          <w:bCs/>
        </w:rPr>
        <w:t>ha interpuesto la correspondiente de</w:t>
      </w:r>
      <w:r w:rsidR="00DB7C25" w:rsidRPr="00F80D85">
        <w:rPr>
          <w:rFonts w:cs="Arial"/>
          <w:bCs/>
        </w:rPr>
        <w:t xml:space="preserve">manda </w:t>
      </w:r>
      <w:r w:rsidR="00F80D85" w:rsidRPr="00F80D85">
        <w:rPr>
          <w:rFonts w:cs="Arial"/>
          <w:bCs/>
        </w:rPr>
        <w:t xml:space="preserve">de desahucio por precario </w:t>
      </w:r>
      <w:r w:rsidR="00DB7C25" w:rsidRPr="00F80D85">
        <w:rPr>
          <w:rFonts w:cs="Arial"/>
          <w:bCs/>
        </w:rPr>
        <w:t xml:space="preserve">ante </w:t>
      </w:r>
      <w:r w:rsidR="00F80D85" w:rsidRPr="00F80D85">
        <w:rPr>
          <w:rFonts w:cs="Arial"/>
          <w:bCs/>
        </w:rPr>
        <w:t xml:space="preserve">el </w:t>
      </w:r>
      <w:r w:rsidR="00DB7C25" w:rsidRPr="00F80D85">
        <w:rPr>
          <w:rFonts w:cs="Arial"/>
          <w:bCs/>
        </w:rPr>
        <w:t>Juzgado</w:t>
      </w:r>
      <w:r w:rsidR="00F80D85" w:rsidRPr="00F80D85">
        <w:rPr>
          <w:rFonts w:cs="Arial"/>
          <w:bCs/>
        </w:rPr>
        <w:t xml:space="preserve"> </w:t>
      </w:r>
      <w:r w:rsidR="00DB7C25" w:rsidRPr="00F80D85">
        <w:rPr>
          <w:rFonts w:cs="Arial"/>
          <w:bCs/>
        </w:rPr>
        <w:t xml:space="preserve">de </w:t>
      </w:r>
      <w:r w:rsidR="00F80D85" w:rsidRPr="00F80D85">
        <w:rPr>
          <w:rFonts w:cs="Arial"/>
          <w:bCs/>
        </w:rPr>
        <w:t xml:space="preserve">1ª instancia de </w:t>
      </w:r>
      <w:r w:rsidR="00DB7C25" w:rsidRPr="00F80D85">
        <w:rPr>
          <w:rFonts w:cs="Arial"/>
          <w:bCs/>
        </w:rPr>
        <w:t>Arona</w:t>
      </w:r>
      <w:r w:rsidR="004306BE">
        <w:rPr>
          <w:rFonts w:cs="Arial"/>
          <w:bCs/>
        </w:rPr>
        <w:t xml:space="preserve">, estando pendiente de resolución. La Sociedad sigue el criterio de no amortizar las construcciones </w:t>
      </w:r>
      <w:r w:rsidR="00551459">
        <w:rPr>
          <w:rFonts w:cs="Arial"/>
          <w:bCs/>
        </w:rPr>
        <w:t>que no han entrado</w:t>
      </w:r>
      <w:r w:rsidR="004306BE">
        <w:rPr>
          <w:rFonts w:cs="Arial"/>
          <w:bCs/>
        </w:rPr>
        <w:t xml:space="preserve"> en uso o no </w:t>
      </w:r>
      <w:r w:rsidR="00551459">
        <w:rPr>
          <w:rFonts w:cs="Arial"/>
          <w:bCs/>
        </w:rPr>
        <w:t>se tenga acceso</w:t>
      </w:r>
      <w:r w:rsidR="004306BE">
        <w:rPr>
          <w:rFonts w:cs="Arial"/>
          <w:bCs/>
        </w:rPr>
        <w:t xml:space="preserve"> </w:t>
      </w:r>
      <w:r w:rsidR="00FF1351">
        <w:rPr>
          <w:rFonts w:cs="Arial"/>
          <w:bCs/>
        </w:rPr>
        <w:t>ni</w:t>
      </w:r>
      <w:r w:rsidR="004306BE">
        <w:rPr>
          <w:rFonts w:cs="Arial"/>
          <w:bCs/>
        </w:rPr>
        <w:t xml:space="preserve"> al mismo.</w:t>
      </w:r>
    </w:p>
    <w:p w14:paraId="0CB7750B" w14:textId="77777777" w:rsidR="00870C26" w:rsidRPr="00325131" w:rsidRDefault="00870C26" w:rsidP="00710604">
      <w:pPr>
        <w:spacing w:before="240"/>
        <w:rPr>
          <w:rFonts w:cs="Arial"/>
          <w:bCs/>
        </w:rPr>
      </w:pPr>
    </w:p>
    <w:p w14:paraId="5DA1F062" w14:textId="7F534E07" w:rsidR="00352ED5" w:rsidRPr="007E0C45" w:rsidRDefault="00D563D4" w:rsidP="00710604">
      <w:pPr>
        <w:spacing w:before="240"/>
        <w:rPr>
          <w:rFonts w:cs="Arial"/>
          <w:color w:val="000000"/>
        </w:rPr>
      </w:pPr>
      <w:r w:rsidRPr="00B81ACF">
        <w:rPr>
          <w:rFonts w:cs="Arial"/>
          <w:b/>
        </w:rPr>
        <w:t>8</w:t>
      </w:r>
      <w:r w:rsidR="00352ED5" w:rsidRPr="00B81ACF">
        <w:rPr>
          <w:rFonts w:cs="Arial"/>
          <w:b/>
        </w:rPr>
        <w:t>.</w:t>
      </w:r>
      <w:r w:rsidR="00352ED5" w:rsidRPr="00B81ACF">
        <w:rPr>
          <w:rFonts w:cs="Arial"/>
          <w:b/>
        </w:rPr>
        <w:tab/>
      </w:r>
      <w:r w:rsidR="00352ED5" w:rsidRPr="00706175">
        <w:rPr>
          <w:rFonts w:cs="Arial"/>
          <w:b/>
        </w:rPr>
        <w:t>ACTIVOS FINANCIEROS</w:t>
      </w:r>
    </w:p>
    <w:p w14:paraId="288FD46B" w14:textId="2651D182" w:rsidR="00352ED5" w:rsidRDefault="00352ED5" w:rsidP="00352ED5">
      <w:pPr>
        <w:widowControl w:val="0"/>
        <w:autoSpaceDE w:val="0"/>
        <w:autoSpaceDN w:val="0"/>
        <w:adjustRightInd w:val="0"/>
        <w:spacing w:before="240"/>
        <w:rPr>
          <w:rFonts w:cs="Arial"/>
        </w:rPr>
      </w:pPr>
      <w:r w:rsidRPr="007E0C45">
        <w:rPr>
          <w:rFonts w:cs="Arial"/>
        </w:rPr>
        <w:t>La composi</w:t>
      </w:r>
      <w:r w:rsidR="008B4BF6" w:rsidRPr="007E0C45">
        <w:rPr>
          <w:rFonts w:cs="Arial"/>
        </w:rPr>
        <w:t>ción de los activos financieros</w:t>
      </w:r>
      <w:r w:rsidRPr="007E0C45">
        <w:rPr>
          <w:rFonts w:cs="Arial"/>
        </w:rPr>
        <w:t xml:space="preserve"> al 31 de diciembre es la siguiente:</w:t>
      </w:r>
    </w:p>
    <w:p w14:paraId="30D4C72B" w14:textId="77777777" w:rsidR="00424CAA" w:rsidRPr="007E0C45" w:rsidRDefault="00424CAA" w:rsidP="001A5FF3">
      <w:pPr>
        <w:jc w:val="center"/>
        <w:rPr>
          <w:rFonts w:cs="Arial"/>
        </w:rPr>
      </w:pPr>
    </w:p>
    <w:bookmarkStart w:id="26" w:name="_MON_1547887520"/>
    <w:bookmarkEnd w:id="26"/>
    <w:p w14:paraId="6DE97C3C" w14:textId="3FE4D689" w:rsidR="000264B0" w:rsidRPr="007E0C45" w:rsidRDefault="00706175" w:rsidP="001A5FF3">
      <w:pPr>
        <w:jc w:val="center"/>
        <w:rPr>
          <w:rFonts w:cs="Arial"/>
          <w:color w:val="000000"/>
        </w:rPr>
      </w:pPr>
      <w:r w:rsidRPr="007E0C45">
        <w:rPr>
          <w:rFonts w:cs="Arial"/>
        </w:rPr>
        <w:object w:dxaOrig="13667" w:dyaOrig="4421" w14:anchorId="52E8069C">
          <v:shape id="_x0000_i1036" type="#_x0000_t75" style="width:452.55pt;height:178.6pt" o:ole="">
            <v:imagedata r:id="rId40" o:title=""/>
          </v:shape>
          <o:OLEObject Type="Embed" ProgID="Excel.Sheet.12" ShapeID="_x0000_i1036" DrawAspect="Content" ObjectID="_1805087271" r:id="rId41"/>
        </w:object>
      </w:r>
    </w:p>
    <w:p w14:paraId="1A91E4F2" w14:textId="77777777" w:rsidR="007B5194" w:rsidRDefault="007B5194" w:rsidP="00064AC2">
      <w:pPr>
        <w:rPr>
          <w:rFonts w:cs="Arial"/>
          <w:color w:val="000000"/>
        </w:rPr>
      </w:pPr>
    </w:p>
    <w:p w14:paraId="773B539F" w14:textId="77777777" w:rsidR="00022385" w:rsidRDefault="00022385" w:rsidP="00064AC2">
      <w:pPr>
        <w:rPr>
          <w:rFonts w:cs="Arial"/>
          <w:color w:val="000000"/>
        </w:rPr>
      </w:pPr>
    </w:p>
    <w:p w14:paraId="0235B4F1" w14:textId="5834A8C4" w:rsidR="00352ED5" w:rsidRDefault="00352ED5" w:rsidP="00064AC2">
      <w:pPr>
        <w:rPr>
          <w:rFonts w:cs="Arial"/>
          <w:color w:val="000000"/>
        </w:rPr>
      </w:pPr>
      <w:r w:rsidRPr="00DC1E2C">
        <w:rPr>
          <w:rFonts w:cs="Arial"/>
          <w:color w:val="000000"/>
        </w:rPr>
        <w:t>Estos importes se desglosan en el balance de la siguiente forma:</w:t>
      </w:r>
    </w:p>
    <w:p w14:paraId="44CB528B" w14:textId="77777777" w:rsidR="00022385" w:rsidRPr="00636F07" w:rsidRDefault="00022385" w:rsidP="00064AC2">
      <w:pPr>
        <w:rPr>
          <w:rFonts w:cs="Arial"/>
          <w:color w:val="000000"/>
        </w:rPr>
      </w:pPr>
    </w:p>
    <w:p w14:paraId="0226B470" w14:textId="77777777" w:rsidR="003B133E" w:rsidRPr="00636F07" w:rsidRDefault="003B133E" w:rsidP="00D32A52">
      <w:pPr>
        <w:tabs>
          <w:tab w:val="center" w:pos="4513"/>
        </w:tabs>
        <w:rPr>
          <w:rFonts w:cs="Arial"/>
          <w:b/>
          <w:color w:val="000000"/>
        </w:rPr>
      </w:pPr>
    </w:p>
    <w:bookmarkStart w:id="27" w:name="_MON_1547888476"/>
    <w:bookmarkEnd w:id="27"/>
    <w:p w14:paraId="1ED1FAB7" w14:textId="6D113B88" w:rsidR="00D32A52" w:rsidRPr="00DD2592" w:rsidRDefault="00EC63C8" w:rsidP="001A5FF3">
      <w:pPr>
        <w:tabs>
          <w:tab w:val="center" w:pos="4513"/>
        </w:tabs>
        <w:jc w:val="center"/>
        <w:rPr>
          <w:rFonts w:cs="Arial"/>
          <w:b/>
          <w:color w:val="000000"/>
          <w:highlight w:val="yellow"/>
        </w:rPr>
      </w:pPr>
      <w:r w:rsidRPr="00636F07">
        <w:rPr>
          <w:rFonts w:cs="Arial"/>
          <w:b/>
          <w:color w:val="000000"/>
        </w:rPr>
        <w:object w:dxaOrig="13898" w:dyaOrig="5492" w14:anchorId="2A525F26">
          <v:shape id="_x0000_i1037" type="#_x0000_t75" style="width:452.55pt;height:212.25pt" o:ole="">
            <v:imagedata r:id="rId42" o:title=""/>
          </v:shape>
          <o:OLEObject Type="Embed" ProgID="Excel.Sheet.12" ShapeID="_x0000_i1037" DrawAspect="Content" ObjectID="_1805087272" r:id="rId43"/>
        </w:object>
      </w:r>
    </w:p>
    <w:p w14:paraId="788BFC4B" w14:textId="689BCA07" w:rsidR="00B27A63" w:rsidRDefault="00B27A63" w:rsidP="00D32A52">
      <w:pPr>
        <w:tabs>
          <w:tab w:val="left" w:pos="720"/>
          <w:tab w:val="center" w:pos="4513"/>
        </w:tabs>
        <w:rPr>
          <w:rFonts w:cs="Arial"/>
          <w:b/>
          <w:color w:val="000000"/>
          <w:highlight w:val="yellow"/>
        </w:rPr>
      </w:pPr>
    </w:p>
    <w:p w14:paraId="3BA25BDD" w14:textId="77777777" w:rsidR="002B327B" w:rsidRDefault="002B327B" w:rsidP="00D32A52">
      <w:pPr>
        <w:tabs>
          <w:tab w:val="left" w:pos="720"/>
          <w:tab w:val="center" w:pos="4513"/>
        </w:tabs>
        <w:rPr>
          <w:rFonts w:cs="Arial"/>
          <w:b/>
          <w:color w:val="000000"/>
          <w:highlight w:val="yellow"/>
        </w:rPr>
      </w:pPr>
    </w:p>
    <w:p w14:paraId="3F3E41A0" w14:textId="77777777" w:rsidR="0021214F" w:rsidRDefault="0021214F" w:rsidP="00D32A52">
      <w:pPr>
        <w:tabs>
          <w:tab w:val="left" w:pos="720"/>
          <w:tab w:val="center" w:pos="4513"/>
        </w:tabs>
        <w:rPr>
          <w:rFonts w:cs="Arial"/>
          <w:b/>
          <w:color w:val="000000"/>
        </w:rPr>
      </w:pPr>
    </w:p>
    <w:p w14:paraId="3602995E" w14:textId="0F11F705" w:rsidR="00352ED5" w:rsidRPr="00F55AEC" w:rsidRDefault="004B6895" w:rsidP="00D32A52">
      <w:pPr>
        <w:tabs>
          <w:tab w:val="left" w:pos="720"/>
          <w:tab w:val="center" w:pos="4513"/>
        </w:tabs>
        <w:rPr>
          <w:rFonts w:cs="Arial"/>
          <w:b/>
          <w:color w:val="000000"/>
        </w:rPr>
      </w:pPr>
      <w:r w:rsidRPr="00F55AEC">
        <w:rPr>
          <w:rFonts w:cs="Arial"/>
          <w:b/>
          <w:color w:val="000000"/>
        </w:rPr>
        <w:t>8</w:t>
      </w:r>
      <w:r w:rsidR="00640B22" w:rsidRPr="00F55AEC">
        <w:rPr>
          <w:rFonts w:cs="Arial"/>
          <w:b/>
          <w:color w:val="000000"/>
        </w:rPr>
        <w:t>.1</w:t>
      </w:r>
      <w:r w:rsidR="00D32A52" w:rsidRPr="00F55AEC">
        <w:rPr>
          <w:rFonts w:cs="Arial"/>
          <w:b/>
          <w:color w:val="000000"/>
        </w:rPr>
        <w:tab/>
      </w:r>
      <w:r w:rsidR="00C502CD" w:rsidRPr="00F55AEC">
        <w:rPr>
          <w:rFonts w:cs="Arial"/>
          <w:b/>
          <w:color w:val="000000"/>
        </w:rPr>
        <w:t>Activos financieros a valor razonable con cambios en pérdidas y ganancias</w:t>
      </w:r>
    </w:p>
    <w:p w14:paraId="6BB15420" w14:textId="1BA95B52" w:rsidR="0021214F" w:rsidRDefault="00352ED5" w:rsidP="00352ED5">
      <w:pPr>
        <w:spacing w:before="240"/>
        <w:rPr>
          <w:rFonts w:cs="Arial"/>
        </w:rPr>
      </w:pPr>
      <w:r w:rsidRPr="00F55AEC">
        <w:rPr>
          <w:rFonts w:cs="Arial"/>
        </w:rPr>
        <w:t>El coste amortizado y el valor razonable de los activos financieros clasificados en esta categoría al 31 de diciembre son los siguientes:</w:t>
      </w:r>
    </w:p>
    <w:p w14:paraId="4B210F56" w14:textId="77777777" w:rsidR="00BA264E" w:rsidRPr="00F55AEC" w:rsidRDefault="00BA264E" w:rsidP="00352ED5">
      <w:pPr>
        <w:spacing w:before="240"/>
        <w:rPr>
          <w:rFonts w:cs="Arial"/>
        </w:rPr>
      </w:pPr>
    </w:p>
    <w:tbl>
      <w:tblPr>
        <w:tblW w:w="8854" w:type="dxa"/>
        <w:jc w:val="center"/>
        <w:tblCellMar>
          <w:left w:w="99" w:type="dxa"/>
          <w:right w:w="99" w:type="dxa"/>
        </w:tblCellMar>
        <w:tblLook w:val="01E0" w:firstRow="1" w:lastRow="1" w:firstColumn="1" w:lastColumn="1" w:noHBand="0" w:noVBand="0"/>
      </w:tblPr>
      <w:tblGrid>
        <w:gridCol w:w="4014"/>
        <w:gridCol w:w="1210"/>
        <w:gridCol w:w="1210"/>
        <w:gridCol w:w="1210"/>
        <w:gridCol w:w="1210"/>
      </w:tblGrid>
      <w:tr w:rsidR="00132957" w:rsidRPr="00F55AEC" w14:paraId="4F2974AC" w14:textId="77777777" w:rsidTr="00F60E5F">
        <w:trPr>
          <w:trHeight w:val="284"/>
          <w:jc w:val="center"/>
        </w:trPr>
        <w:tc>
          <w:tcPr>
            <w:tcW w:w="4014" w:type="dxa"/>
            <w:tcBorders>
              <w:top w:val="single" w:sz="4" w:space="0" w:color="auto"/>
            </w:tcBorders>
            <w:shd w:val="clear" w:color="auto" w:fill="BFBFBF"/>
            <w:vAlign w:val="bottom"/>
          </w:tcPr>
          <w:p w14:paraId="6F8D4E7C" w14:textId="77777777" w:rsidR="00132957" w:rsidRPr="00F55AEC" w:rsidRDefault="00132957" w:rsidP="000C7717">
            <w:pPr>
              <w:rPr>
                <w:rFonts w:cs="Arial"/>
                <w:b/>
                <w:sz w:val="16"/>
                <w:szCs w:val="16"/>
              </w:rPr>
            </w:pPr>
          </w:p>
        </w:tc>
        <w:tc>
          <w:tcPr>
            <w:tcW w:w="2419" w:type="dxa"/>
            <w:gridSpan w:val="2"/>
            <w:tcBorders>
              <w:top w:val="single" w:sz="4" w:space="0" w:color="auto"/>
            </w:tcBorders>
            <w:shd w:val="clear" w:color="auto" w:fill="BFBFBF"/>
            <w:vAlign w:val="bottom"/>
          </w:tcPr>
          <w:p w14:paraId="1B08D8F8" w14:textId="24B0DC60" w:rsidR="00132957" w:rsidRPr="00F55AEC" w:rsidRDefault="00132957" w:rsidP="00064765">
            <w:pPr>
              <w:pBdr>
                <w:bottom w:val="single" w:sz="6" w:space="1" w:color="auto"/>
              </w:pBdr>
              <w:jc w:val="center"/>
              <w:rPr>
                <w:rFonts w:cs="Arial"/>
                <w:b/>
                <w:sz w:val="16"/>
                <w:szCs w:val="16"/>
              </w:rPr>
            </w:pPr>
            <w:r w:rsidRPr="00F55AEC">
              <w:rPr>
                <w:rFonts w:cs="Arial"/>
                <w:b/>
                <w:sz w:val="16"/>
                <w:szCs w:val="16"/>
              </w:rPr>
              <w:t>20</w:t>
            </w:r>
            <w:r w:rsidR="005103EF" w:rsidRPr="00F55AEC">
              <w:rPr>
                <w:rFonts w:cs="Arial"/>
                <w:b/>
                <w:sz w:val="16"/>
                <w:szCs w:val="16"/>
              </w:rPr>
              <w:t>2</w:t>
            </w:r>
            <w:r w:rsidR="00DA54CE">
              <w:rPr>
                <w:rFonts w:cs="Arial"/>
                <w:b/>
                <w:sz w:val="16"/>
                <w:szCs w:val="16"/>
              </w:rPr>
              <w:t>4</w:t>
            </w:r>
          </w:p>
        </w:tc>
        <w:tc>
          <w:tcPr>
            <w:tcW w:w="2419" w:type="dxa"/>
            <w:gridSpan w:val="2"/>
            <w:tcBorders>
              <w:top w:val="single" w:sz="4" w:space="0" w:color="auto"/>
            </w:tcBorders>
            <w:shd w:val="clear" w:color="auto" w:fill="BFBFBF"/>
            <w:vAlign w:val="bottom"/>
          </w:tcPr>
          <w:p w14:paraId="3D78678E" w14:textId="03B98C1B" w:rsidR="00132957" w:rsidRPr="00F55AEC" w:rsidRDefault="00132957" w:rsidP="006A795C">
            <w:pPr>
              <w:pBdr>
                <w:bottom w:val="single" w:sz="6" w:space="1" w:color="auto"/>
              </w:pBdr>
              <w:jc w:val="center"/>
              <w:rPr>
                <w:rFonts w:cs="Arial"/>
                <w:b/>
                <w:sz w:val="16"/>
                <w:szCs w:val="16"/>
              </w:rPr>
            </w:pPr>
            <w:r w:rsidRPr="00F55AEC">
              <w:rPr>
                <w:rFonts w:cs="Arial"/>
                <w:b/>
                <w:sz w:val="16"/>
                <w:szCs w:val="16"/>
              </w:rPr>
              <w:t>20</w:t>
            </w:r>
            <w:r w:rsidR="00F55AEC" w:rsidRPr="00F55AEC">
              <w:rPr>
                <w:rFonts w:cs="Arial"/>
                <w:b/>
                <w:sz w:val="16"/>
                <w:szCs w:val="16"/>
              </w:rPr>
              <w:t>2</w:t>
            </w:r>
            <w:r w:rsidR="00DA54CE">
              <w:rPr>
                <w:rFonts w:cs="Arial"/>
                <w:b/>
                <w:sz w:val="16"/>
                <w:szCs w:val="16"/>
              </w:rPr>
              <w:t>3</w:t>
            </w:r>
          </w:p>
        </w:tc>
      </w:tr>
      <w:tr w:rsidR="00132957" w:rsidRPr="00F55AEC" w14:paraId="145BD63A" w14:textId="77777777" w:rsidTr="00F60E5F">
        <w:trPr>
          <w:trHeight w:val="251"/>
          <w:jc w:val="center"/>
        </w:trPr>
        <w:tc>
          <w:tcPr>
            <w:tcW w:w="4014" w:type="dxa"/>
            <w:shd w:val="clear" w:color="auto" w:fill="BFBFBF"/>
            <w:vAlign w:val="bottom"/>
          </w:tcPr>
          <w:p w14:paraId="046DCC45" w14:textId="77777777" w:rsidR="00132957" w:rsidRPr="00F55AEC" w:rsidRDefault="00132957" w:rsidP="000C7717">
            <w:pPr>
              <w:rPr>
                <w:rFonts w:cs="Arial"/>
                <w:b/>
                <w:sz w:val="16"/>
                <w:szCs w:val="16"/>
              </w:rPr>
            </w:pPr>
          </w:p>
        </w:tc>
        <w:tc>
          <w:tcPr>
            <w:tcW w:w="1210" w:type="dxa"/>
            <w:shd w:val="clear" w:color="auto" w:fill="BFBFBF"/>
            <w:vAlign w:val="bottom"/>
          </w:tcPr>
          <w:p w14:paraId="0342281F"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1C09D174" w14:textId="77777777" w:rsidR="00132957" w:rsidRPr="00F55AEC" w:rsidRDefault="00132957" w:rsidP="000C7717">
            <w:pPr>
              <w:jc w:val="center"/>
              <w:rPr>
                <w:rFonts w:cs="Arial"/>
                <w:b/>
                <w:sz w:val="16"/>
                <w:szCs w:val="16"/>
              </w:rPr>
            </w:pPr>
            <w:r w:rsidRPr="00F55AEC">
              <w:rPr>
                <w:rFonts w:cs="Arial"/>
                <w:b/>
                <w:sz w:val="16"/>
                <w:szCs w:val="16"/>
              </w:rPr>
              <w:t>Valor</w:t>
            </w:r>
          </w:p>
        </w:tc>
        <w:tc>
          <w:tcPr>
            <w:tcW w:w="1210" w:type="dxa"/>
            <w:shd w:val="clear" w:color="auto" w:fill="BFBFBF"/>
            <w:vAlign w:val="bottom"/>
          </w:tcPr>
          <w:p w14:paraId="3FB51EB8"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22683F94" w14:textId="77777777" w:rsidR="00132957" w:rsidRPr="00F55AEC" w:rsidRDefault="00132957" w:rsidP="000C7717">
            <w:pPr>
              <w:jc w:val="center"/>
              <w:rPr>
                <w:rFonts w:cs="Arial"/>
                <w:b/>
                <w:sz w:val="16"/>
                <w:szCs w:val="16"/>
              </w:rPr>
            </w:pPr>
            <w:r w:rsidRPr="00F55AEC">
              <w:rPr>
                <w:rFonts w:cs="Arial"/>
                <w:b/>
                <w:sz w:val="16"/>
                <w:szCs w:val="16"/>
              </w:rPr>
              <w:t>Valor</w:t>
            </w:r>
          </w:p>
        </w:tc>
      </w:tr>
      <w:tr w:rsidR="00132957" w:rsidRPr="00F55AEC" w14:paraId="77E5B75E" w14:textId="77777777" w:rsidTr="00F60E5F">
        <w:trPr>
          <w:trHeight w:val="251"/>
          <w:jc w:val="center"/>
        </w:trPr>
        <w:tc>
          <w:tcPr>
            <w:tcW w:w="4014" w:type="dxa"/>
            <w:tcBorders>
              <w:bottom w:val="single" w:sz="4" w:space="0" w:color="auto"/>
            </w:tcBorders>
            <w:shd w:val="clear" w:color="auto" w:fill="BFBFBF"/>
            <w:vAlign w:val="bottom"/>
          </w:tcPr>
          <w:p w14:paraId="22363129" w14:textId="77777777" w:rsidR="00132957" w:rsidRPr="00F55AEC" w:rsidRDefault="00132957" w:rsidP="000C7717">
            <w:pPr>
              <w:rPr>
                <w:rFonts w:cs="Arial"/>
                <w:b/>
                <w:sz w:val="16"/>
                <w:szCs w:val="16"/>
              </w:rPr>
            </w:pPr>
            <w:r w:rsidRPr="00F55AEC">
              <w:rPr>
                <w:rFonts w:cs="Arial"/>
                <w:b/>
                <w:sz w:val="16"/>
                <w:szCs w:val="16"/>
              </w:rPr>
              <w:t>(Euros)</w:t>
            </w:r>
          </w:p>
        </w:tc>
        <w:tc>
          <w:tcPr>
            <w:tcW w:w="1210" w:type="dxa"/>
            <w:tcBorders>
              <w:bottom w:val="single" w:sz="4" w:space="0" w:color="auto"/>
            </w:tcBorders>
            <w:shd w:val="clear" w:color="auto" w:fill="BFBFBF"/>
            <w:vAlign w:val="bottom"/>
          </w:tcPr>
          <w:p w14:paraId="1408AD51"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2BEDB17A" w14:textId="77777777" w:rsidR="00132957" w:rsidRPr="00F55AEC" w:rsidRDefault="00132957" w:rsidP="000C7717">
            <w:pPr>
              <w:jc w:val="center"/>
              <w:rPr>
                <w:rFonts w:cs="Arial"/>
                <w:b/>
                <w:sz w:val="16"/>
                <w:szCs w:val="16"/>
              </w:rPr>
            </w:pPr>
            <w:r w:rsidRPr="00F55AEC">
              <w:rPr>
                <w:rFonts w:cs="Arial"/>
                <w:b/>
                <w:sz w:val="16"/>
                <w:szCs w:val="16"/>
              </w:rPr>
              <w:t>razonable</w:t>
            </w:r>
          </w:p>
        </w:tc>
        <w:tc>
          <w:tcPr>
            <w:tcW w:w="1210" w:type="dxa"/>
            <w:tcBorders>
              <w:bottom w:val="single" w:sz="4" w:space="0" w:color="auto"/>
            </w:tcBorders>
            <w:shd w:val="clear" w:color="auto" w:fill="BFBFBF"/>
            <w:vAlign w:val="bottom"/>
          </w:tcPr>
          <w:p w14:paraId="58BE5FDF"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1A70E3F4" w14:textId="77777777" w:rsidR="00132957" w:rsidRPr="00F55AEC" w:rsidRDefault="00132957" w:rsidP="000C7717">
            <w:pPr>
              <w:jc w:val="center"/>
              <w:rPr>
                <w:rFonts w:cs="Arial"/>
                <w:b/>
                <w:sz w:val="16"/>
                <w:szCs w:val="16"/>
              </w:rPr>
            </w:pPr>
            <w:r w:rsidRPr="00F55AEC">
              <w:rPr>
                <w:rFonts w:cs="Arial"/>
                <w:b/>
                <w:sz w:val="16"/>
                <w:szCs w:val="16"/>
              </w:rPr>
              <w:t>razonable</w:t>
            </w:r>
          </w:p>
        </w:tc>
      </w:tr>
      <w:tr w:rsidR="00132957" w:rsidRPr="00F55AEC" w14:paraId="1DD32674" w14:textId="77777777" w:rsidTr="00F60E5F">
        <w:trPr>
          <w:trHeight w:val="251"/>
          <w:jc w:val="center"/>
        </w:trPr>
        <w:tc>
          <w:tcPr>
            <w:tcW w:w="4014" w:type="dxa"/>
            <w:tcBorders>
              <w:top w:val="single" w:sz="4" w:space="0" w:color="auto"/>
            </w:tcBorders>
            <w:shd w:val="clear" w:color="auto" w:fill="auto"/>
            <w:vAlign w:val="bottom"/>
          </w:tcPr>
          <w:p w14:paraId="42B88609" w14:textId="77777777" w:rsidR="00132957" w:rsidRPr="00F55AEC" w:rsidRDefault="00132957" w:rsidP="000C7717">
            <w:pPr>
              <w:rPr>
                <w:rFonts w:cs="Arial"/>
                <w:sz w:val="16"/>
                <w:szCs w:val="16"/>
              </w:rPr>
            </w:pPr>
          </w:p>
        </w:tc>
        <w:tc>
          <w:tcPr>
            <w:tcW w:w="1210" w:type="dxa"/>
            <w:tcBorders>
              <w:top w:val="single" w:sz="4" w:space="0" w:color="auto"/>
            </w:tcBorders>
            <w:shd w:val="clear" w:color="auto" w:fill="auto"/>
            <w:vAlign w:val="bottom"/>
          </w:tcPr>
          <w:p w14:paraId="3BFAEEE5" w14:textId="77777777" w:rsidR="00132957" w:rsidRPr="00F55AEC" w:rsidRDefault="00132957" w:rsidP="000C7717">
            <w:pPr>
              <w:jc w:val="center"/>
              <w:rPr>
                <w:rFonts w:cs="Arial"/>
                <w:sz w:val="16"/>
                <w:szCs w:val="16"/>
              </w:rPr>
            </w:pPr>
          </w:p>
        </w:tc>
        <w:tc>
          <w:tcPr>
            <w:tcW w:w="1210" w:type="dxa"/>
            <w:tcBorders>
              <w:top w:val="single" w:sz="4" w:space="0" w:color="auto"/>
            </w:tcBorders>
            <w:shd w:val="clear" w:color="auto" w:fill="auto"/>
            <w:vAlign w:val="bottom"/>
          </w:tcPr>
          <w:p w14:paraId="24ABA90D" w14:textId="77777777" w:rsidR="00132957" w:rsidRPr="00F55AEC" w:rsidRDefault="00132957" w:rsidP="000C7717">
            <w:pPr>
              <w:jc w:val="center"/>
              <w:rPr>
                <w:rFonts w:cs="Arial"/>
                <w:sz w:val="16"/>
                <w:szCs w:val="16"/>
              </w:rPr>
            </w:pPr>
          </w:p>
        </w:tc>
        <w:tc>
          <w:tcPr>
            <w:tcW w:w="1210" w:type="dxa"/>
            <w:tcBorders>
              <w:top w:val="single" w:sz="4" w:space="0" w:color="auto"/>
            </w:tcBorders>
            <w:shd w:val="clear" w:color="auto" w:fill="auto"/>
            <w:vAlign w:val="bottom"/>
          </w:tcPr>
          <w:p w14:paraId="688113BD" w14:textId="77777777" w:rsidR="00132957" w:rsidRPr="00F55AEC" w:rsidRDefault="00132957" w:rsidP="000C7717">
            <w:pPr>
              <w:jc w:val="center"/>
              <w:rPr>
                <w:rFonts w:cs="Arial"/>
                <w:sz w:val="16"/>
                <w:szCs w:val="16"/>
              </w:rPr>
            </w:pPr>
          </w:p>
        </w:tc>
        <w:tc>
          <w:tcPr>
            <w:tcW w:w="1210" w:type="dxa"/>
            <w:tcBorders>
              <w:top w:val="single" w:sz="4" w:space="0" w:color="auto"/>
            </w:tcBorders>
            <w:shd w:val="clear" w:color="auto" w:fill="auto"/>
            <w:vAlign w:val="bottom"/>
          </w:tcPr>
          <w:p w14:paraId="3ADF2675" w14:textId="77777777" w:rsidR="00132957" w:rsidRPr="00F55AEC" w:rsidRDefault="00132957" w:rsidP="000C7717">
            <w:pPr>
              <w:jc w:val="center"/>
              <w:rPr>
                <w:rFonts w:cs="Arial"/>
                <w:sz w:val="16"/>
                <w:szCs w:val="16"/>
              </w:rPr>
            </w:pPr>
          </w:p>
        </w:tc>
      </w:tr>
      <w:tr w:rsidR="00132957" w:rsidRPr="00F55AEC" w14:paraId="73BF2C99" w14:textId="77777777" w:rsidTr="00F60E5F">
        <w:trPr>
          <w:trHeight w:val="269"/>
          <w:jc w:val="center"/>
        </w:trPr>
        <w:tc>
          <w:tcPr>
            <w:tcW w:w="4014" w:type="dxa"/>
            <w:tcBorders>
              <w:bottom w:val="single" w:sz="4" w:space="0" w:color="auto"/>
            </w:tcBorders>
            <w:shd w:val="clear" w:color="auto" w:fill="auto"/>
            <w:vAlign w:val="bottom"/>
          </w:tcPr>
          <w:p w14:paraId="487702B6" w14:textId="77777777" w:rsidR="00132957" w:rsidRPr="00F55AEC" w:rsidRDefault="00132957" w:rsidP="000C7717">
            <w:pPr>
              <w:rPr>
                <w:rFonts w:cs="Arial"/>
                <w:sz w:val="16"/>
                <w:szCs w:val="16"/>
              </w:rPr>
            </w:pPr>
            <w:r w:rsidRPr="00F55AEC">
              <w:rPr>
                <w:rFonts w:cs="Arial"/>
                <w:sz w:val="16"/>
                <w:szCs w:val="16"/>
              </w:rPr>
              <w:t>Aportaciones al Capital Social</w:t>
            </w:r>
            <w:r w:rsidR="0019124B" w:rsidRPr="00F55AEC">
              <w:rPr>
                <w:rFonts w:cs="Arial"/>
                <w:sz w:val="16"/>
                <w:szCs w:val="16"/>
              </w:rPr>
              <w:t xml:space="preserve"> Caja Siete</w:t>
            </w:r>
          </w:p>
        </w:tc>
        <w:tc>
          <w:tcPr>
            <w:tcW w:w="1210" w:type="dxa"/>
            <w:tcBorders>
              <w:bottom w:val="single" w:sz="4" w:space="0" w:color="auto"/>
            </w:tcBorders>
            <w:shd w:val="clear" w:color="auto" w:fill="auto"/>
            <w:vAlign w:val="bottom"/>
          </w:tcPr>
          <w:p w14:paraId="18AFE067"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bottom w:val="single" w:sz="4" w:space="0" w:color="auto"/>
            </w:tcBorders>
            <w:shd w:val="clear" w:color="auto" w:fill="auto"/>
            <w:vAlign w:val="bottom"/>
          </w:tcPr>
          <w:p w14:paraId="2E40928E" w14:textId="77777777" w:rsidR="00132957" w:rsidRPr="00F55AEC" w:rsidRDefault="00132957" w:rsidP="000C7717">
            <w:pPr>
              <w:jc w:val="center"/>
              <w:rPr>
                <w:rFonts w:cs="Arial"/>
                <w:sz w:val="16"/>
                <w:szCs w:val="16"/>
              </w:rPr>
            </w:pPr>
            <w:r w:rsidRPr="00F55AEC">
              <w:rPr>
                <w:rFonts w:cs="Arial"/>
                <w:sz w:val="16"/>
                <w:szCs w:val="16"/>
              </w:rPr>
              <w:t>600,00</w:t>
            </w:r>
          </w:p>
        </w:tc>
        <w:tc>
          <w:tcPr>
            <w:tcW w:w="1210" w:type="dxa"/>
            <w:tcBorders>
              <w:bottom w:val="single" w:sz="4" w:space="0" w:color="auto"/>
            </w:tcBorders>
            <w:shd w:val="clear" w:color="auto" w:fill="auto"/>
            <w:vAlign w:val="bottom"/>
          </w:tcPr>
          <w:p w14:paraId="7E4321D5"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bottom w:val="single" w:sz="4" w:space="0" w:color="auto"/>
            </w:tcBorders>
            <w:shd w:val="clear" w:color="auto" w:fill="auto"/>
            <w:vAlign w:val="bottom"/>
          </w:tcPr>
          <w:p w14:paraId="7075D6D2" w14:textId="77777777" w:rsidR="00132957" w:rsidRPr="00F55AEC" w:rsidRDefault="00132957" w:rsidP="000C7717">
            <w:pPr>
              <w:jc w:val="center"/>
              <w:rPr>
                <w:rFonts w:cs="Arial"/>
                <w:sz w:val="16"/>
                <w:szCs w:val="16"/>
              </w:rPr>
            </w:pPr>
            <w:r w:rsidRPr="00F55AEC">
              <w:rPr>
                <w:rFonts w:cs="Arial"/>
                <w:sz w:val="16"/>
                <w:szCs w:val="16"/>
              </w:rPr>
              <w:t>600,00</w:t>
            </w:r>
          </w:p>
        </w:tc>
      </w:tr>
    </w:tbl>
    <w:p w14:paraId="7BFC81D5" w14:textId="77777777" w:rsidR="00136458" w:rsidRDefault="00136458" w:rsidP="00640B22">
      <w:pPr>
        <w:spacing w:before="360"/>
        <w:jc w:val="left"/>
        <w:rPr>
          <w:rFonts w:cs="Arial"/>
          <w:b/>
          <w:color w:val="000000"/>
        </w:rPr>
      </w:pPr>
    </w:p>
    <w:p w14:paraId="081EE298" w14:textId="56A4667C" w:rsidR="00352ED5" w:rsidRPr="00F55AEC" w:rsidRDefault="004B6895" w:rsidP="00640B22">
      <w:pPr>
        <w:spacing w:before="360"/>
        <w:jc w:val="left"/>
        <w:rPr>
          <w:rFonts w:cs="Arial"/>
          <w:b/>
          <w:color w:val="000000"/>
        </w:rPr>
      </w:pPr>
      <w:r w:rsidRPr="00F55AEC">
        <w:rPr>
          <w:rFonts w:cs="Arial"/>
          <w:b/>
          <w:color w:val="000000"/>
        </w:rPr>
        <w:lastRenderedPageBreak/>
        <w:t>8</w:t>
      </w:r>
      <w:r w:rsidR="00640B22" w:rsidRPr="00F55AEC">
        <w:rPr>
          <w:rFonts w:cs="Arial"/>
          <w:b/>
          <w:color w:val="000000"/>
        </w:rPr>
        <w:t>.2</w:t>
      </w:r>
      <w:r w:rsidR="00640B22" w:rsidRPr="00F55AEC">
        <w:rPr>
          <w:rFonts w:cs="Arial"/>
          <w:b/>
          <w:color w:val="000000"/>
        </w:rPr>
        <w:tab/>
      </w:r>
      <w:r w:rsidR="00F55AEC" w:rsidRPr="00F55AEC">
        <w:rPr>
          <w:rFonts w:cs="Arial"/>
          <w:b/>
          <w:color w:val="000000"/>
        </w:rPr>
        <w:t>Activos financieros a coste amortizado</w:t>
      </w:r>
    </w:p>
    <w:p w14:paraId="23E7A22F" w14:textId="77777777" w:rsidR="00352ED5" w:rsidRPr="00F55AEC" w:rsidRDefault="00352ED5" w:rsidP="00352ED5">
      <w:pPr>
        <w:spacing w:before="240"/>
        <w:rPr>
          <w:rFonts w:cs="Arial"/>
          <w:color w:val="000000"/>
        </w:rPr>
      </w:pPr>
      <w:r w:rsidRPr="00F55AEC">
        <w:rPr>
          <w:rFonts w:cs="Arial"/>
          <w:color w:val="000000"/>
        </w:rPr>
        <w:t>El detalle de los activos fin</w:t>
      </w:r>
      <w:r w:rsidR="00FA08CC" w:rsidRPr="00F55AEC">
        <w:rPr>
          <w:rFonts w:cs="Arial"/>
          <w:color w:val="000000"/>
        </w:rPr>
        <w:t>ancieros clasificados</w:t>
      </w:r>
      <w:r w:rsidRPr="00F55AEC">
        <w:rPr>
          <w:rFonts w:cs="Arial"/>
          <w:color w:val="000000"/>
        </w:rPr>
        <w:t xml:space="preserve"> en esta categoría al 31 de diciembre es el siguiente:</w:t>
      </w:r>
    </w:p>
    <w:p w14:paraId="0845AB10" w14:textId="77777777" w:rsidR="00352ED5" w:rsidRPr="00F55AEC" w:rsidRDefault="00352ED5" w:rsidP="00352ED5">
      <w:pPr>
        <w:widowControl w:val="0"/>
        <w:autoSpaceDE w:val="0"/>
        <w:autoSpaceDN w:val="0"/>
        <w:adjustRightInd w:val="0"/>
        <w:ind w:left="357"/>
        <w:jc w:val="right"/>
        <w:rPr>
          <w:rFonts w:cs="Arial"/>
        </w:rPr>
      </w:pPr>
    </w:p>
    <w:bookmarkStart w:id="28" w:name="_MON_1547888803"/>
    <w:bookmarkEnd w:id="28"/>
    <w:bookmarkStart w:id="29" w:name="_MON_1421564069"/>
    <w:bookmarkEnd w:id="29"/>
    <w:p w14:paraId="73C02AF3" w14:textId="5D2CE070" w:rsidR="00B17E4B" w:rsidRPr="00F55AEC" w:rsidRDefault="00DA54CE" w:rsidP="00CC65EC">
      <w:pPr>
        <w:widowControl w:val="0"/>
        <w:autoSpaceDE w:val="0"/>
        <w:autoSpaceDN w:val="0"/>
        <w:adjustRightInd w:val="0"/>
        <w:ind w:left="357"/>
        <w:jc w:val="center"/>
        <w:rPr>
          <w:rFonts w:cs="Arial"/>
        </w:rPr>
      </w:pPr>
      <w:r w:rsidRPr="00F55AEC">
        <w:rPr>
          <w:rFonts w:cs="Arial"/>
        </w:rPr>
        <w:object w:dxaOrig="7082" w:dyaOrig="2909" w14:anchorId="3518EB6E">
          <v:shape id="_x0000_i1038" type="#_x0000_t75" style="width:333.8pt;height:143.05pt" o:ole="">
            <v:imagedata r:id="rId44" o:title=""/>
          </v:shape>
          <o:OLEObject Type="Embed" ProgID="Excel.Sheet.8" ShapeID="_x0000_i1038" DrawAspect="Content" ObjectID="_1805087273" r:id="rId45"/>
        </w:object>
      </w:r>
    </w:p>
    <w:p w14:paraId="2E3C9793" w14:textId="77777777" w:rsidR="00B17E4B" w:rsidRPr="00DD2592" w:rsidRDefault="00B17E4B" w:rsidP="00710604">
      <w:pPr>
        <w:widowControl w:val="0"/>
        <w:autoSpaceDE w:val="0"/>
        <w:autoSpaceDN w:val="0"/>
        <w:adjustRightInd w:val="0"/>
        <w:rPr>
          <w:rFonts w:cs="Arial"/>
          <w:highlight w:val="yellow"/>
        </w:rPr>
      </w:pPr>
    </w:p>
    <w:p w14:paraId="658FC06F" w14:textId="3F46D0B5" w:rsidR="00FA74AE" w:rsidRPr="001157DE" w:rsidRDefault="00FA74AE" w:rsidP="00FA74AE">
      <w:pPr>
        <w:widowControl w:val="0"/>
        <w:autoSpaceDE w:val="0"/>
        <w:autoSpaceDN w:val="0"/>
        <w:adjustRightInd w:val="0"/>
        <w:spacing w:before="240"/>
        <w:rPr>
          <w:rFonts w:cs="Arial"/>
          <w:i/>
          <w:u w:val="single"/>
        </w:rPr>
      </w:pPr>
      <w:r w:rsidRPr="001157DE">
        <w:rPr>
          <w:rFonts w:cs="Arial"/>
          <w:i/>
          <w:u w:val="single"/>
        </w:rPr>
        <w:t>Créditos a terceros</w:t>
      </w:r>
    </w:p>
    <w:p w14:paraId="56D660F4" w14:textId="77777777" w:rsidR="0017107E" w:rsidRPr="001157DE" w:rsidRDefault="00FA74AE" w:rsidP="001C4B92">
      <w:pPr>
        <w:widowControl w:val="0"/>
        <w:autoSpaceDE w:val="0"/>
        <w:autoSpaceDN w:val="0"/>
        <w:adjustRightInd w:val="0"/>
        <w:spacing w:before="240"/>
        <w:rPr>
          <w:rFonts w:cs="Arial"/>
          <w:color w:val="000000"/>
        </w:rPr>
      </w:pPr>
      <w:r w:rsidRPr="001157DE">
        <w:rPr>
          <w:rFonts w:cs="Arial"/>
          <w:color w:val="000000"/>
        </w:rPr>
        <w:t xml:space="preserve">Los créditos a terceros </w:t>
      </w:r>
      <w:r w:rsidR="00C61D98" w:rsidRPr="001157DE">
        <w:rPr>
          <w:rFonts w:cs="Arial"/>
          <w:color w:val="000000"/>
        </w:rPr>
        <w:t>tienen su origen en</w:t>
      </w:r>
      <w:r w:rsidRPr="001157DE">
        <w:rPr>
          <w:rFonts w:cs="Arial"/>
          <w:color w:val="000000"/>
        </w:rPr>
        <w:t xml:space="preserve"> </w:t>
      </w:r>
      <w:r w:rsidR="005E3AC9" w:rsidRPr="001157DE">
        <w:rPr>
          <w:rFonts w:cs="Arial"/>
          <w:color w:val="000000"/>
        </w:rPr>
        <w:t xml:space="preserve">la deuda comercial generada </w:t>
      </w:r>
      <w:r w:rsidR="00C61D98" w:rsidRPr="001157DE">
        <w:rPr>
          <w:rFonts w:cs="Arial"/>
          <w:color w:val="000000"/>
        </w:rPr>
        <w:t xml:space="preserve">hasta el año 2015 </w:t>
      </w:r>
      <w:r w:rsidR="005E3AC9" w:rsidRPr="001157DE">
        <w:rPr>
          <w:rFonts w:cs="Arial"/>
          <w:color w:val="000000"/>
        </w:rPr>
        <w:t>por los anticipos a cuenta de la facturación de</w:t>
      </w:r>
      <w:r w:rsidRPr="001157DE">
        <w:rPr>
          <w:rFonts w:cs="Arial"/>
          <w:color w:val="000000"/>
        </w:rPr>
        <w:t xml:space="preserve"> </w:t>
      </w:r>
      <w:r w:rsidR="009A3DAA" w:rsidRPr="001157DE">
        <w:rPr>
          <w:rFonts w:cs="Arial"/>
          <w:color w:val="000000"/>
        </w:rPr>
        <w:t xml:space="preserve">un proveedor de </w:t>
      </w:r>
      <w:r w:rsidR="00297D14" w:rsidRPr="001157DE">
        <w:rPr>
          <w:rFonts w:cs="Arial"/>
          <w:color w:val="000000"/>
        </w:rPr>
        <w:t>mercadería</w:t>
      </w:r>
      <w:r w:rsidR="009A3DAA" w:rsidRPr="001157DE">
        <w:rPr>
          <w:rFonts w:cs="Arial"/>
          <w:color w:val="000000"/>
        </w:rPr>
        <w:t>s</w:t>
      </w:r>
      <w:r w:rsidR="00D031FB" w:rsidRPr="001157DE">
        <w:rPr>
          <w:rFonts w:cs="Arial"/>
          <w:color w:val="000000"/>
        </w:rPr>
        <w:t xml:space="preserve">. El 1 de noviembre de 2016 se acordó </w:t>
      </w:r>
      <w:r w:rsidR="009A3DAA" w:rsidRPr="001157DE">
        <w:rPr>
          <w:rFonts w:cs="Arial"/>
          <w:color w:val="000000"/>
        </w:rPr>
        <w:t>el cobro</w:t>
      </w:r>
      <w:r w:rsidR="00D031FB" w:rsidRPr="001157DE">
        <w:rPr>
          <w:rFonts w:cs="Arial"/>
          <w:color w:val="000000"/>
        </w:rPr>
        <w:t xml:space="preserve"> de la cantidad adeudada en </w:t>
      </w:r>
      <w:r w:rsidRPr="001157DE">
        <w:rPr>
          <w:rFonts w:cs="Arial"/>
          <w:color w:val="000000"/>
        </w:rPr>
        <w:t xml:space="preserve">un plazo de </w:t>
      </w:r>
      <w:r w:rsidR="005E3AC9" w:rsidRPr="001157DE">
        <w:rPr>
          <w:rFonts w:cs="Arial"/>
          <w:color w:val="000000"/>
        </w:rPr>
        <w:t>7</w:t>
      </w:r>
      <w:r w:rsidRPr="001157DE">
        <w:rPr>
          <w:rFonts w:cs="Arial"/>
          <w:color w:val="000000"/>
        </w:rPr>
        <w:t xml:space="preserve"> años, pagadero </w:t>
      </w:r>
      <w:r w:rsidR="005E3AC9" w:rsidRPr="001157DE">
        <w:rPr>
          <w:rFonts w:cs="Arial"/>
          <w:color w:val="000000"/>
        </w:rPr>
        <w:t xml:space="preserve">mediante 84 cuotas mensuales de 8.219,02 </w:t>
      </w:r>
      <w:r w:rsidR="0017107E" w:rsidRPr="001157DE">
        <w:rPr>
          <w:rFonts w:cs="Arial"/>
          <w:color w:val="000000"/>
        </w:rPr>
        <w:t>euros</w:t>
      </w:r>
      <w:r w:rsidR="001C4B92" w:rsidRPr="001157DE">
        <w:rPr>
          <w:rFonts w:cs="Arial"/>
          <w:color w:val="000000"/>
        </w:rPr>
        <w:t xml:space="preserve"> </w:t>
      </w:r>
      <w:r w:rsidR="0017107E" w:rsidRPr="001157DE">
        <w:rPr>
          <w:rFonts w:cs="Arial"/>
          <w:color w:val="000000"/>
        </w:rPr>
        <w:t xml:space="preserve">cada una, siendo la primera el 1 de noviembre de 2016 y la última el 1 de octubre de 2023. </w:t>
      </w:r>
      <w:r w:rsidRPr="001157DE">
        <w:rPr>
          <w:rFonts w:cs="Arial"/>
          <w:color w:val="000000"/>
        </w:rPr>
        <w:t xml:space="preserve">El tipo de interés </w:t>
      </w:r>
      <w:r w:rsidR="0017107E" w:rsidRPr="001157DE">
        <w:rPr>
          <w:rFonts w:cs="Arial"/>
          <w:color w:val="000000"/>
        </w:rPr>
        <w:t xml:space="preserve">aplicado </w:t>
      </w:r>
      <w:r w:rsidRPr="001157DE">
        <w:rPr>
          <w:rFonts w:cs="Arial"/>
          <w:color w:val="000000"/>
        </w:rPr>
        <w:t xml:space="preserve">es el </w:t>
      </w:r>
      <w:r w:rsidR="0017107E" w:rsidRPr="001157DE">
        <w:rPr>
          <w:rFonts w:cs="Arial"/>
          <w:color w:val="000000"/>
        </w:rPr>
        <w:t>1,</w:t>
      </w:r>
      <w:r w:rsidRPr="001157DE">
        <w:rPr>
          <w:rFonts w:cs="Arial"/>
          <w:color w:val="000000"/>
        </w:rPr>
        <w:t>5</w:t>
      </w:r>
      <w:r w:rsidR="0017107E" w:rsidRPr="001157DE">
        <w:rPr>
          <w:rFonts w:cs="Arial"/>
          <w:color w:val="000000"/>
        </w:rPr>
        <w:t>0</w:t>
      </w:r>
      <w:r w:rsidRPr="001157DE">
        <w:rPr>
          <w:rFonts w:cs="Arial"/>
          <w:color w:val="000000"/>
        </w:rPr>
        <w:t>%</w:t>
      </w:r>
      <w:r w:rsidR="0071676A" w:rsidRPr="001157DE">
        <w:rPr>
          <w:rFonts w:cs="Arial"/>
          <w:color w:val="000000"/>
        </w:rPr>
        <w:t xml:space="preserve"> nominal anual</w:t>
      </w:r>
      <w:r w:rsidRPr="001157DE">
        <w:rPr>
          <w:rFonts w:cs="Arial"/>
          <w:color w:val="000000"/>
        </w:rPr>
        <w:t xml:space="preserve">. </w:t>
      </w:r>
    </w:p>
    <w:p w14:paraId="7952496D" w14:textId="30A52C9B" w:rsidR="001C4B92" w:rsidRPr="001157DE" w:rsidRDefault="001C4B92" w:rsidP="001C4B92">
      <w:pPr>
        <w:widowControl w:val="0"/>
        <w:autoSpaceDE w:val="0"/>
        <w:autoSpaceDN w:val="0"/>
        <w:adjustRightInd w:val="0"/>
        <w:spacing w:before="240"/>
        <w:rPr>
          <w:rFonts w:cs="Arial"/>
          <w:color w:val="000000"/>
        </w:rPr>
      </w:pPr>
      <w:r w:rsidRPr="001157DE">
        <w:rPr>
          <w:rFonts w:cs="Arial"/>
          <w:color w:val="000000"/>
        </w:rPr>
        <w:t>En garantía de pago se constituy</w:t>
      </w:r>
      <w:r w:rsidR="00D031FB" w:rsidRPr="001157DE">
        <w:rPr>
          <w:rFonts w:cs="Arial"/>
          <w:color w:val="000000"/>
        </w:rPr>
        <w:t>ó</w:t>
      </w:r>
      <w:r w:rsidRPr="001157DE">
        <w:rPr>
          <w:rFonts w:cs="Arial"/>
          <w:color w:val="000000"/>
        </w:rPr>
        <w:t xml:space="preserve"> prenda a favor de la Sociedad sobre los derechos de crédito</w:t>
      </w:r>
      <w:r w:rsidR="009A3DAA" w:rsidRPr="001157DE">
        <w:rPr>
          <w:rFonts w:cs="Arial"/>
          <w:color w:val="000000"/>
        </w:rPr>
        <w:t xml:space="preserve"> a recibir por el proveedor</w:t>
      </w:r>
      <w:r w:rsidRPr="001157DE">
        <w:rPr>
          <w:rFonts w:cs="Arial"/>
          <w:color w:val="000000"/>
        </w:rPr>
        <w:t xml:space="preserve"> consistente en el cobro de ayudas al consumo humano de productos lácteos elaborados con leche de origen local, y correspondientes al primer y segundo semestre de cada uno de los años desde 2016 al 2023, por importe de hasta 50.000 euros por cada semestre, según le sean concedidas por la Consejería de Agricultura, Ganadería, Pesca y </w:t>
      </w:r>
      <w:r w:rsidR="0053021F">
        <w:rPr>
          <w:rFonts w:cs="Arial"/>
          <w:color w:val="000000"/>
        </w:rPr>
        <w:t>Soberanía Alimentaria</w:t>
      </w:r>
      <w:r w:rsidRPr="001157DE">
        <w:rPr>
          <w:rFonts w:cs="Arial"/>
          <w:color w:val="000000"/>
        </w:rPr>
        <w:t xml:space="preserve"> del Gobierno de Canarias.</w:t>
      </w:r>
    </w:p>
    <w:p w14:paraId="4863E291" w14:textId="75FBA224" w:rsidR="005B0347" w:rsidRDefault="005B0347" w:rsidP="00D17A64">
      <w:pPr>
        <w:widowControl w:val="0"/>
        <w:autoSpaceDE w:val="0"/>
        <w:autoSpaceDN w:val="0"/>
        <w:adjustRightInd w:val="0"/>
        <w:spacing w:before="240"/>
        <w:rPr>
          <w:rFonts w:cs="Arial"/>
          <w:color w:val="000000"/>
        </w:rPr>
      </w:pPr>
      <w:r w:rsidRPr="00906219">
        <w:rPr>
          <w:rFonts w:cs="Arial"/>
          <w:color w:val="000000"/>
        </w:rPr>
        <w:t xml:space="preserve">Con fecha </w:t>
      </w:r>
      <w:r w:rsidR="00906219" w:rsidRPr="00906219">
        <w:rPr>
          <w:rFonts w:cs="Arial"/>
          <w:color w:val="000000"/>
        </w:rPr>
        <w:t>12</w:t>
      </w:r>
      <w:r w:rsidRPr="00906219">
        <w:rPr>
          <w:rFonts w:cs="Arial"/>
          <w:color w:val="000000"/>
        </w:rPr>
        <w:t xml:space="preserve"> de </w:t>
      </w:r>
      <w:r w:rsidR="00906219" w:rsidRPr="00906219">
        <w:rPr>
          <w:rFonts w:cs="Arial"/>
          <w:color w:val="000000"/>
        </w:rPr>
        <w:t>mayo</w:t>
      </w:r>
      <w:r w:rsidRPr="00906219">
        <w:rPr>
          <w:rFonts w:cs="Arial"/>
          <w:color w:val="000000"/>
        </w:rPr>
        <w:t xml:space="preserve"> de 2022, se firm</w:t>
      </w:r>
      <w:r w:rsidR="00E819B8">
        <w:rPr>
          <w:rFonts w:cs="Arial"/>
          <w:color w:val="000000"/>
        </w:rPr>
        <w:t>ó</w:t>
      </w:r>
      <w:r w:rsidRPr="00906219">
        <w:rPr>
          <w:rFonts w:cs="Arial"/>
          <w:color w:val="000000"/>
        </w:rPr>
        <w:t xml:space="preserve"> escritura de</w:t>
      </w:r>
      <w:r w:rsidR="00906219" w:rsidRPr="00906219">
        <w:rPr>
          <w:rFonts w:cs="Arial"/>
          <w:color w:val="000000"/>
        </w:rPr>
        <w:t xml:space="preserve"> ampliación de plazo </w:t>
      </w:r>
      <w:r w:rsidR="00E819B8">
        <w:rPr>
          <w:rFonts w:cs="Arial"/>
          <w:color w:val="000000"/>
        </w:rPr>
        <w:t>con una carencia de</w:t>
      </w:r>
      <w:r w:rsidR="00906219" w:rsidRPr="00906219">
        <w:rPr>
          <w:rFonts w:cs="Arial"/>
          <w:color w:val="000000"/>
        </w:rPr>
        <w:t xml:space="preserve"> veinticuatro meses más </w:t>
      </w:r>
      <w:r w:rsidR="006B3DC1">
        <w:rPr>
          <w:rFonts w:cs="Arial"/>
          <w:color w:val="000000"/>
        </w:rPr>
        <w:t xml:space="preserve">pagando sólo intereses, </w:t>
      </w:r>
      <w:r w:rsidR="00906219" w:rsidRPr="00906219">
        <w:rPr>
          <w:rFonts w:cs="Arial"/>
          <w:color w:val="000000"/>
        </w:rPr>
        <w:t xml:space="preserve">siendo la última cuota el día 1 de octubre de 2025. Asimismo, se </w:t>
      </w:r>
      <w:r w:rsidR="000662AF" w:rsidRPr="00906219">
        <w:rPr>
          <w:rFonts w:cs="Arial"/>
          <w:color w:val="000000"/>
        </w:rPr>
        <w:t>ampl</w:t>
      </w:r>
      <w:r w:rsidR="00C274A4">
        <w:rPr>
          <w:rFonts w:cs="Arial"/>
          <w:color w:val="000000"/>
        </w:rPr>
        <w:t>i</w:t>
      </w:r>
      <w:r w:rsidR="000662AF" w:rsidRPr="00906219">
        <w:rPr>
          <w:rFonts w:cs="Arial"/>
          <w:color w:val="000000"/>
        </w:rPr>
        <w:t>a</w:t>
      </w:r>
      <w:r w:rsidR="000140E0">
        <w:rPr>
          <w:rFonts w:cs="Arial"/>
          <w:color w:val="000000"/>
        </w:rPr>
        <w:t>ba</w:t>
      </w:r>
      <w:r w:rsidR="00906219" w:rsidRPr="00906219">
        <w:rPr>
          <w:rFonts w:cs="Arial"/>
          <w:color w:val="000000"/>
        </w:rPr>
        <w:t xml:space="preserve"> la garantía </w:t>
      </w:r>
      <w:r w:rsidR="000662AF" w:rsidRPr="00906219">
        <w:rPr>
          <w:rFonts w:cs="Arial"/>
          <w:color w:val="000000"/>
        </w:rPr>
        <w:t>prendaria</w:t>
      </w:r>
      <w:r w:rsidR="00906219" w:rsidRPr="00906219">
        <w:rPr>
          <w:rFonts w:cs="Arial"/>
          <w:color w:val="000000"/>
        </w:rPr>
        <w:t xml:space="preserve"> hasta el año 2025.</w:t>
      </w:r>
      <w:r w:rsidRPr="00906219">
        <w:rPr>
          <w:rFonts w:cs="Arial"/>
          <w:color w:val="000000"/>
        </w:rPr>
        <w:t xml:space="preserve"> </w:t>
      </w:r>
    </w:p>
    <w:p w14:paraId="261A9326" w14:textId="36522226" w:rsidR="00D71A63" w:rsidRPr="00D71A63" w:rsidRDefault="000140E0" w:rsidP="00D71A63">
      <w:pPr>
        <w:widowControl w:val="0"/>
        <w:autoSpaceDE w:val="0"/>
        <w:autoSpaceDN w:val="0"/>
        <w:adjustRightInd w:val="0"/>
        <w:spacing w:before="240"/>
        <w:rPr>
          <w:rFonts w:cs="Arial"/>
          <w:color w:val="000000"/>
        </w:rPr>
      </w:pPr>
      <w:r>
        <w:rPr>
          <w:rFonts w:cs="Arial"/>
          <w:color w:val="000000"/>
        </w:rPr>
        <w:t>Posteriormente</w:t>
      </w:r>
      <w:r w:rsidR="00D71A63">
        <w:rPr>
          <w:rFonts w:cs="Arial"/>
          <w:color w:val="000000"/>
        </w:rPr>
        <w:t>, c</w:t>
      </w:r>
      <w:r w:rsidR="00D71A63" w:rsidRPr="00D71A63">
        <w:rPr>
          <w:rFonts w:cs="Arial"/>
          <w:color w:val="000000"/>
        </w:rPr>
        <w:t>on fecha 1</w:t>
      </w:r>
      <w:r w:rsidR="0048705F" w:rsidRPr="0048705F">
        <w:rPr>
          <w:rFonts w:cs="Arial"/>
          <w:color w:val="000000"/>
        </w:rPr>
        <w:t>3</w:t>
      </w:r>
      <w:r w:rsidR="00D71A63" w:rsidRPr="00D71A63">
        <w:rPr>
          <w:rFonts w:cs="Arial"/>
          <w:color w:val="000000"/>
        </w:rPr>
        <w:t xml:space="preserve"> de mayo de 202</w:t>
      </w:r>
      <w:r w:rsidR="0048705F" w:rsidRPr="0048705F">
        <w:rPr>
          <w:rFonts w:cs="Arial"/>
          <w:color w:val="000000"/>
        </w:rPr>
        <w:t>4</w:t>
      </w:r>
      <w:r w:rsidR="00D71A63" w:rsidRPr="00D71A63">
        <w:rPr>
          <w:rFonts w:cs="Arial"/>
          <w:color w:val="000000"/>
        </w:rPr>
        <w:t xml:space="preserve">, se firmó escritura de ampliación de plazo con una carencia de </w:t>
      </w:r>
      <w:r w:rsidR="00D71A63">
        <w:rPr>
          <w:rFonts w:cs="Arial"/>
          <w:color w:val="000000"/>
        </w:rPr>
        <w:t>doce</w:t>
      </w:r>
      <w:r w:rsidR="00D71A63" w:rsidRPr="00D71A63">
        <w:rPr>
          <w:rFonts w:cs="Arial"/>
          <w:color w:val="000000"/>
        </w:rPr>
        <w:t xml:space="preserve"> meses más pagando sólo intereses, siendo la última cuota el día 1 de octubre de 202</w:t>
      </w:r>
      <w:r w:rsidR="00D71A63">
        <w:rPr>
          <w:rFonts w:cs="Arial"/>
          <w:color w:val="000000"/>
        </w:rPr>
        <w:t>6</w:t>
      </w:r>
      <w:r w:rsidR="00D71A63" w:rsidRPr="00D71A63">
        <w:rPr>
          <w:rFonts w:cs="Arial"/>
          <w:color w:val="000000"/>
        </w:rPr>
        <w:t xml:space="preserve">. </w:t>
      </w:r>
      <w:r w:rsidR="00D71A63">
        <w:rPr>
          <w:rFonts w:cs="Arial"/>
          <w:color w:val="000000"/>
        </w:rPr>
        <w:t xml:space="preserve">De igual forma, </w:t>
      </w:r>
      <w:r w:rsidR="00D71A63" w:rsidRPr="00D71A63">
        <w:rPr>
          <w:rFonts w:cs="Arial"/>
          <w:color w:val="000000"/>
        </w:rPr>
        <w:t>se amplía la garantía prendaria hasta el año 202</w:t>
      </w:r>
      <w:r w:rsidR="00D71A63">
        <w:rPr>
          <w:rFonts w:cs="Arial"/>
          <w:color w:val="000000"/>
        </w:rPr>
        <w:t>6</w:t>
      </w:r>
      <w:r w:rsidR="00D71A63" w:rsidRPr="00D71A63">
        <w:rPr>
          <w:rFonts w:cs="Arial"/>
          <w:color w:val="000000"/>
        </w:rPr>
        <w:t xml:space="preserve">. </w:t>
      </w:r>
    </w:p>
    <w:p w14:paraId="59F28932" w14:textId="26736652" w:rsidR="003B133E" w:rsidRPr="0048705F" w:rsidRDefault="00D17A64" w:rsidP="00D17A64">
      <w:pPr>
        <w:widowControl w:val="0"/>
        <w:autoSpaceDE w:val="0"/>
        <w:autoSpaceDN w:val="0"/>
        <w:adjustRightInd w:val="0"/>
        <w:spacing w:before="240"/>
        <w:rPr>
          <w:rFonts w:cs="Arial"/>
          <w:color w:val="000000"/>
        </w:rPr>
      </w:pPr>
      <w:r w:rsidRPr="0048705F">
        <w:rPr>
          <w:rFonts w:cs="Arial"/>
          <w:color w:val="000000"/>
        </w:rPr>
        <w:t>El detalle de los vencimientos anuales de dicho préstamo</w:t>
      </w:r>
      <w:r w:rsidR="008610F0" w:rsidRPr="0048705F">
        <w:rPr>
          <w:rFonts w:cs="Arial"/>
          <w:color w:val="000000"/>
        </w:rPr>
        <w:t>, después de la modificación, es el siguiente</w:t>
      </w:r>
      <w:r w:rsidRPr="0048705F">
        <w:rPr>
          <w:rFonts w:cs="Arial"/>
          <w:color w:val="000000"/>
        </w:rPr>
        <w:t>:</w:t>
      </w:r>
    </w:p>
    <w:bookmarkStart w:id="30" w:name="_MON_1550033468"/>
    <w:bookmarkEnd w:id="30"/>
    <w:p w14:paraId="49590BFB" w14:textId="20A8CD8C" w:rsidR="00FA74AE" w:rsidRPr="001157DE" w:rsidRDefault="000140E0" w:rsidP="00D17A64">
      <w:pPr>
        <w:widowControl w:val="0"/>
        <w:autoSpaceDE w:val="0"/>
        <w:autoSpaceDN w:val="0"/>
        <w:adjustRightInd w:val="0"/>
        <w:spacing w:before="240"/>
        <w:jc w:val="center"/>
        <w:rPr>
          <w:rFonts w:cs="Arial"/>
        </w:rPr>
      </w:pPr>
      <w:r w:rsidRPr="0048705F">
        <w:rPr>
          <w:rFonts w:cs="Arial"/>
        </w:rPr>
        <w:object w:dxaOrig="5642" w:dyaOrig="1843" w14:anchorId="180C9E66">
          <v:shape id="_x0000_i1039" type="#_x0000_t75" style="width:251.55pt;height:84.15pt" o:ole="">
            <v:imagedata r:id="rId46" o:title=""/>
          </v:shape>
          <o:OLEObject Type="Embed" ProgID="Excel.Sheet.12" ShapeID="_x0000_i1039" DrawAspect="Content" ObjectID="_1805087274" r:id="rId47"/>
        </w:object>
      </w:r>
    </w:p>
    <w:p w14:paraId="782D6529" w14:textId="156CA6E5" w:rsidR="00FA74AE" w:rsidRDefault="000140E0" w:rsidP="00FA74AE">
      <w:pPr>
        <w:spacing w:before="240"/>
        <w:rPr>
          <w:rFonts w:cs="Arial"/>
        </w:rPr>
      </w:pPr>
      <w:r>
        <w:rPr>
          <w:rFonts w:cs="Arial"/>
        </w:rPr>
        <w:t>Los intereses devengados y no vencidos de dicho crédito ascienden al cierre de 2024 a 19.324,29 euros (4.762,39 euros en el 2023).</w:t>
      </w:r>
    </w:p>
    <w:p w14:paraId="0BAE12B6" w14:textId="77777777" w:rsidR="003E640A" w:rsidRDefault="003E640A" w:rsidP="00D538F0">
      <w:pPr>
        <w:widowControl w:val="0"/>
        <w:autoSpaceDE w:val="0"/>
        <w:autoSpaceDN w:val="0"/>
        <w:adjustRightInd w:val="0"/>
        <w:rPr>
          <w:rFonts w:cs="Arial"/>
          <w:i/>
          <w:u w:val="single"/>
        </w:rPr>
      </w:pPr>
    </w:p>
    <w:p w14:paraId="392403C0" w14:textId="77777777" w:rsidR="003E640A" w:rsidRDefault="003E640A" w:rsidP="00D538F0">
      <w:pPr>
        <w:widowControl w:val="0"/>
        <w:autoSpaceDE w:val="0"/>
        <w:autoSpaceDN w:val="0"/>
        <w:adjustRightInd w:val="0"/>
        <w:rPr>
          <w:rFonts w:cs="Arial"/>
          <w:i/>
          <w:u w:val="single"/>
        </w:rPr>
      </w:pPr>
    </w:p>
    <w:p w14:paraId="5531A95B" w14:textId="77777777" w:rsidR="003E640A" w:rsidRDefault="003E640A" w:rsidP="00D538F0">
      <w:pPr>
        <w:widowControl w:val="0"/>
        <w:autoSpaceDE w:val="0"/>
        <w:autoSpaceDN w:val="0"/>
        <w:adjustRightInd w:val="0"/>
        <w:rPr>
          <w:rFonts w:cs="Arial"/>
          <w:i/>
          <w:u w:val="single"/>
        </w:rPr>
      </w:pPr>
    </w:p>
    <w:p w14:paraId="008ED2F4" w14:textId="35B0A834" w:rsidR="00D538F0" w:rsidRPr="008D6059" w:rsidRDefault="007279CF" w:rsidP="00D538F0">
      <w:pPr>
        <w:widowControl w:val="0"/>
        <w:autoSpaceDE w:val="0"/>
        <w:autoSpaceDN w:val="0"/>
        <w:adjustRightInd w:val="0"/>
        <w:rPr>
          <w:rFonts w:cs="Arial"/>
          <w:i/>
          <w:u w:val="single"/>
        </w:rPr>
      </w:pPr>
      <w:r w:rsidRPr="008D6059">
        <w:rPr>
          <w:rFonts w:cs="Arial"/>
          <w:i/>
          <w:u w:val="single"/>
        </w:rPr>
        <w:lastRenderedPageBreak/>
        <w:t>Fianzas entregadas y pagos anticipados</w:t>
      </w:r>
      <w:r w:rsidR="00065369" w:rsidRPr="008D6059">
        <w:rPr>
          <w:rFonts w:cs="Arial"/>
          <w:i/>
          <w:u w:val="single"/>
        </w:rPr>
        <w:t xml:space="preserve"> a largo plazo</w:t>
      </w:r>
    </w:p>
    <w:p w14:paraId="2DBB22DD" w14:textId="77777777" w:rsidR="003E640A" w:rsidRDefault="003E640A" w:rsidP="009D1088">
      <w:pPr>
        <w:widowControl w:val="0"/>
        <w:tabs>
          <w:tab w:val="left" w:pos="567"/>
          <w:tab w:val="left" w:pos="1134"/>
          <w:tab w:val="left" w:pos="1587"/>
        </w:tabs>
        <w:rPr>
          <w:rFonts w:cs="Arial"/>
        </w:rPr>
      </w:pPr>
    </w:p>
    <w:p w14:paraId="5C279BF7" w14:textId="7098B741" w:rsidR="009D1088" w:rsidRDefault="00F81043" w:rsidP="009D1088">
      <w:pPr>
        <w:widowControl w:val="0"/>
        <w:tabs>
          <w:tab w:val="left" w:pos="567"/>
          <w:tab w:val="left" w:pos="1134"/>
          <w:tab w:val="left" w:pos="1587"/>
        </w:tabs>
        <w:rPr>
          <w:rFonts w:cs="Arial"/>
        </w:rPr>
      </w:pPr>
      <w:r w:rsidRPr="008D6059">
        <w:rPr>
          <w:rFonts w:cs="Arial"/>
        </w:rPr>
        <w:t>Las fianzas entregadas corresponden principalmente a los inmuebles arrendados</w:t>
      </w:r>
      <w:r w:rsidR="00C61D98" w:rsidRPr="008D6059">
        <w:rPr>
          <w:rFonts w:cs="Arial"/>
        </w:rPr>
        <w:t>, indicados en la Nota 6.2,</w:t>
      </w:r>
      <w:r w:rsidRPr="008D6059">
        <w:rPr>
          <w:rFonts w:cs="Arial"/>
        </w:rPr>
        <w:t xml:space="preserve"> por </w:t>
      </w:r>
      <w:r w:rsidR="008D6059" w:rsidRPr="008D6059">
        <w:rPr>
          <w:rFonts w:cs="Arial"/>
        </w:rPr>
        <w:t>141.356,51</w:t>
      </w:r>
      <w:r w:rsidRPr="008D6059">
        <w:rPr>
          <w:rFonts w:cs="Arial"/>
        </w:rPr>
        <w:t xml:space="preserve"> euros (</w:t>
      </w:r>
      <w:r w:rsidR="00C053FC">
        <w:rPr>
          <w:rFonts w:cs="Arial"/>
        </w:rPr>
        <w:t>141.356,51</w:t>
      </w:r>
      <w:r w:rsidR="008D6059" w:rsidRPr="008D6059">
        <w:rPr>
          <w:rFonts w:cs="Arial"/>
        </w:rPr>
        <w:t xml:space="preserve"> </w:t>
      </w:r>
      <w:r w:rsidR="00F321FA" w:rsidRPr="008D6059">
        <w:rPr>
          <w:rFonts w:cs="Arial"/>
        </w:rPr>
        <w:t xml:space="preserve">euros </w:t>
      </w:r>
      <w:r w:rsidRPr="008D6059">
        <w:rPr>
          <w:rFonts w:cs="Arial"/>
        </w:rPr>
        <w:t>al 31 de diciembre de 20</w:t>
      </w:r>
      <w:r w:rsidR="00F5191F" w:rsidRPr="008D6059">
        <w:rPr>
          <w:rFonts w:cs="Arial"/>
        </w:rPr>
        <w:t>2</w:t>
      </w:r>
      <w:r w:rsidR="0048705F">
        <w:rPr>
          <w:rFonts w:cs="Arial"/>
        </w:rPr>
        <w:t>3</w:t>
      </w:r>
      <w:r w:rsidRPr="008D6059">
        <w:rPr>
          <w:rFonts w:cs="Arial"/>
        </w:rPr>
        <w:t>).</w:t>
      </w:r>
      <w:r w:rsidRPr="00F5191F">
        <w:rPr>
          <w:rFonts w:cs="Arial"/>
        </w:rPr>
        <w:t xml:space="preserve"> </w:t>
      </w:r>
    </w:p>
    <w:p w14:paraId="76973EF6" w14:textId="77777777" w:rsidR="00352ED5" w:rsidRPr="00B3410C" w:rsidRDefault="00352ED5" w:rsidP="00352ED5">
      <w:pPr>
        <w:spacing w:before="240"/>
        <w:rPr>
          <w:rFonts w:cs="Arial"/>
          <w:i/>
          <w:u w:val="single"/>
        </w:rPr>
      </w:pPr>
      <w:r w:rsidRPr="00B3410C">
        <w:rPr>
          <w:rFonts w:cs="Arial"/>
          <w:i/>
          <w:u w:val="single"/>
        </w:rPr>
        <w:t>Deudores comerciales y otras cuentas a cobrar</w:t>
      </w:r>
    </w:p>
    <w:p w14:paraId="235747FF" w14:textId="77777777" w:rsidR="00574742" w:rsidRPr="00B3410C" w:rsidRDefault="00352ED5" w:rsidP="00352ED5">
      <w:pPr>
        <w:spacing w:before="240"/>
        <w:rPr>
          <w:rFonts w:cs="Arial"/>
        </w:rPr>
      </w:pPr>
      <w:r w:rsidRPr="0020118B">
        <w:rPr>
          <w:rFonts w:cs="Arial"/>
        </w:rPr>
        <w:t>La composición de este epígrafe al 31 de diciembre</w:t>
      </w:r>
      <w:r w:rsidR="005D1FC2" w:rsidRPr="0020118B">
        <w:rPr>
          <w:rFonts w:cs="Arial"/>
        </w:rPr>
        <w:t xml:space="preserve"> </w:t>
      </w:r>
      <w:r w:rsidRPr="0020118B">
        <w:rPr>
          <w:rFonts w:cs="Arial"/>
        </w:rPr>
        <w:t>es la siguiente</w:t>
      </w:r>
      <w:r w:rsidR="00950C10" w:rsidRPr="0020118B">
        <w:rPr>
          <w:rFonts w:cs="Arial"/>
        </w:rPr>
        <w:t>:</w:t>
      </w:r>
    </w:p>
    <w:p w14:paraId="66955CB9" w14:textId="471D7B86" w:rsidR="00352ED5" w:rsidRPr="00B3410C" w:rsidRDefault="00046A51" w:rsidP="00823AEC">
      <w:pPr>
        <w:spacing w:before="240"/>
        <w:rPr>
          <w:rFonts w:cs="Arial"/>
          <w:i/>
          <w:u w:val="single"/>
        </w:rPr>
      </w:pPr>
      <w:r>
        <w:rPr>
          <w:rFonts w:cs="Arial"/>
          <w:noProof/>
          <w:lang w:val="en-US"/>
        </w:rPr>
        <w:object w:dxaOrig="1440" w:dyaOrig="1440" w14:anchorId="372574D0">
          <v:shape id="_x0000_s2051" type="#_x0000_t75" style="position:absolute;left:0;text-align:left;margin-left:53.55pt;margin-top:13.4pt;width:356.3pt;height:80.5pt;z-index:251657216">
            <v:imagedata r:id="rId48" o:title=""/>
            <w10:wrap type="topAndBottom"/>
          </v:shape>
          <o:OLEObject Type="Embed" ProgID="Excel.Sheet.8" ShapeID="_x0000_s2051" DrawAspect="Content" ObjectID="_1805087301" r:id="rId49"/>
        </w:object>
      </w:r>
      <w:r w:rsidR="007279CF" w:rsidRPr="003F5AA2">
        <w:rPr>
          <w:rFonts w:cs="Arial"/>
          <w:i/>
          <w:u w:val="single"/>
        </w:rPr>
        <w:t>Correcciones valorativas</w:t>
      </w:r>
    </w:p>
    <w:p w14:paraId="7DE45CEF" w14:textId="4474874A" w:rsidR="00BA264E" w:rsidRPr="00DB5E32" w:rsidRDefault="00372F77" w:rsidP="00352ED5">
      <w:pPr>
        <w:widowControl w:val="0"/>
        <w:shd w:val="clear" w:color="auto" w:fill="FFFFFF"/>
        <w:spacing w:before="240"/>
        <w:rPr>
          <w:rFonts w:cs="Arial"/>
        </w:rPr>
      </w:pPr>
      <w:r w:rsidRPr="00DB5E32">
        <w:rPr>
          <w:rFonts w:cs="Arial"/>
        </w:rPr>
        <w:t>Los</w:t>
      </w:r>
      <w:r w:rsidR="00062B58" w:rsidRPr="00DB5E32">
        <w:rPr>
          <w:rFonts w:cs="Arial"/>
        </w:rPr>
        <w:t xml:space="preserve"> saldo</w:t>
      </w:r>
      <w:r w:rsidRPr="00DB5E32">
        <w:rPr>
          <w:rFonts w:cs="Arial"/>
        </w:rPr>
        <w:t>s</w:t>
      </w:r>
      <w:r w:rsidR="00062B58" w:rsidRPr="00DB5E32">
        <w:rPr>
          <w:rFonts w:cs="Arial"/>
        </w:rPr>
        <w:t xml:space="preserve"> de la</w:t>
      </w:r>
      <w:r w:rsidRPr="00DB5E32">
        <w:rPr>
          <w:rFonts w:cs="Arial"/>
        </w:rPr>
        <w:t>s</w:t>
      </w:r>
      <w:r w:rsidR="00062B58" w:rsidRPr="00DB5E32">
        <w:rPr>
          <w:rFonts w:cs="Arial"/>
        </w:rPr>
        <w:t xml:space="preserve"> partida</w:t>
      </w:r>
      <w:r w:rsidRPr="00DB5E32">
        <w:rPr>
          <w:rFonts w:cs="Arial"/>
        </w:rPr>
        <w:t>s</w:t>
      </w:r>
      <w:r w:rsidR="00062B58" w:rsidRPr="00DB5E32">
        <w:rPr>
          <w:rFonts w:cs="Arial"/>
        </w:rPr>
        <w:t xml:space="preserve"> “Clientes por ventas y prestaciones de servicios” </w:t>
      </w:r>
      <w:r w:rsidRPr="00DB5E32">
        <w:rPr>
          <w:rFonts w:cs="Arial"/>
        </w:rPr>
        <w:t xml:space="preserve">y “Deudores varios” </w:t>
      </w:r>
      <w:r w:rsidR="00062B58" w:rsidRPr="00DB5E32">
        <w:rPr>
          <w:rFonts w:cs="Arial"/>
        </w:rPr>
        <w:t>se presenta</w:t>
      </w:r>
      <w:r w:rsidRPr="00DB5E32">
        <w:rPr>
          <w:rFonts w:cs="Arial"/>
        </w:rPr>
        <w:t>n</w:t>
      </w:r>
      <w:r w:rsidR="00062B58" w:rsidRPr="00DB5E32">
        <w:rPr>
          <w:rFonts w:cs="Arial"/>
        </w:rPr>
        <w:t xml:space="preserve"> neto</w:t>
      </w:r>
      <w:r w:rsidRPr="00DB5E32">
        <w:rPr>
          <w:rFonts w:cs="Arial"/>
        </w:rPr>
        <w:t>s</w:t>
      </w:r>
      <w:r w:rsidR="00062B58" w:rsidRPr="00DB5E32">
        <w:rPr>
          <w:rFonts w:cs="Arial"/>
        </w:rPr>
        <w:t xml:space="preserve"> de las correcciones valorativas por deterioro. Los movimientos habidos en dichas correcciones son los siguientes:</w:t>
      </w:r>
    </w:p>
    <w:bookmarkStart w:id="31" w:name="_MON_1547890778"/>
    <w:bookmarkEnd w:id="31"/>
    <w:bookmarkStart w:id="32" w:name="_MON_1421663450"/>
    <w:bookmarkEnd w:id="32"/>
    <w:p w14:paraId="753F04F7" w14:textId="7447C62D" w:rsidR="008C1CDF" w:rsidRDefault="00336A5D" w:rsidP="00393237">
      <w:pPr>
        <w:widowControl w:val="0"/>
        <w:shd w:val="clear" w:color="auto" w:fill="FFFFFF"/>
        <w:spacing w:before="240"/>
        <w:jc w:val="center"/>
        <w:rPr>
          <w:rFonts w:cs="Arial"/>
        </w:rPr>
      </w:pPr>
      <w:r w:rsidRPr="00DB5E32">
        <w:rPr>
          <w:rFonts w:cs="Arial"/>
        </w:rPr>
        <w:object w:dxaOrig="6307" w:dyaOrig="2018" w14:anchorId="32FF2D86">
          <v:shape id="_x0000_i1041" type="#_x0000_t75" style="width:279.6pt;height:91.65pt" o:ole="">
            <v:imagedata r:id="rId50" o:title=""/>
          </v:shape>
          <o:OLEObject Type="Embed" ProgID="Excel.Sheet.8" ShapeID="_x0000_i1041" DrawAspect="Content" ObjectID="_1805087275" r:id="rId51"/>
        </w:object>
      </w:r>
    </w:p>
    <w:p w14:paraId="0DAE6B93" w14:textId="77777777" w:rsidR="00EE252F" w:rsidRPr="00304FE4" w:rsidRDefault="004B6895" w:rsidP="00352ED5">
      <w:pPr>
        <w:spacing w:before="600"/>
        <w:rPr>
          <w:rFonts w:cs="Arial"/>
          <w:b/>
        </w:rPr>
      </w:pPr>
      <w:r w:rsidRPr="00DB5E32">
        <w:rPr>
          <w:rFonts w:cs="Arial"/>
          <w:b/>
        </w:rPr>
        <w:t>9</w:t>
      </w:r>
      <w:r w:rsidR="00062B58" w:rsidRPr="00DB5E32">
        <w:rPr>
          <w:rFonts w:cs="Arial"/>
          <w:b/>
        </w:rPr>
        <w:t>.</w:t>
      </w:r>
      <w:r w:rsidR="00062B58" w:rsidRPr="00DB5E32">
        <w:rPr>
          <w:rFonts w:cs="Arial"/>
          <w:b/>
        </w:rPr>
        <w:tab/>
      </w:r>
      <w:r w:rsidR="00062B58" w:rsidRPr="00312317">
        <w:rPr>
          <w:rFonts w:cs="Arial"/>
          <w:b/>
        </w:rPr>
        <w:t>EXISTENCIAS</w:t>
      </w:r>
    </w:p>
    <w:p w14:paraId="776192FB" w14:textId="4BAD0F19" w:rsidR="00B6382D" w:rsidRPr="00304FE4" w:rsidRDefault="0038767E" w:rsidP="00EE252F">
      <w:pPr>
        <w:spacing w:before="240"/>
        <w:rPr>
          <w:rFonts w:cs="Arial"/>
        </w:rPr>
      </w:pPr>
      <w:r w:rsidRPr="00304FE4">
        <w:rPr>
          <w:rFonts w:cs="Arial"/>
        </w:rPr>
        <w:t>La Sociedad ha concedido a ciertos proveedores, anticipos de las compras que se llevarán a cabo en el siguiente ejercicio</w:t>
      </w:r>
      <w:r w:rsidR="0004635E" w:rsidRPr="00304FE4">
        <w:rPr>
          <w:rFonts w:cs="Arial"/>
        </w:rPr>
        <w:t xml:space="preserve">, quedando </w:t>
      </w:r>
      <w:r w:rsidR="0067451A" w:rsidRPr="00304FE4">
        <w:rPr>
          <w:rFonts w:cs="Arial"/>
        </w:rPr>
        <w:t xml:space="preserve">pendientes de compensar </w:t>
      </w:r>
      <w:bookmarkStart w:id="33" w:name="_Hlk31968763"/>
      <w:r w:rsidR="000A6927">
        <w:rPr>
          <w:rFonts w:cs="Arial"/>
        </w:rPr>
        <w:t>2</w:t>
      </w:r>
      <w:r w:rsidR="00312317">
        <w:rPr>
          <w:rFonts w:cs="Arial"/>
        </w:rPr>
        <w:t>3.</w:t>
      </w:r>
      <w:r w:rsidR="000A6927">
        <w:rPr>
          <w:rFonts w:cs="Arial"/>
        </w:rPr>
        <w:t>982.68</w:t>
      </w:r>
      <w:r w:rsidR="00AB5C92">
        <w:rPr>
          <w:rFonts w:cs="Arial"/>
        </w:rPr>
        <w:t xml:space="preserve"> euros </w:t>
      </w:r>
      <w:bookmarkEnd w:id="33"/>
      <w:r w:rsidR="00AB5C92">
        <w:rPr>
          <w:rFonts w:cs="Arial"/>
        </w:rPr>
        <w:t>(</w:t>
      </w:r>
      <w:r w:rsidR="000A6927" w:rsidRPr="000A6927">
        <w:rPr>
          <w:rFonts w:cs="Arial"/>
        </w:rPr>
        <w:t>3.497,28</w:t>
      </w:r>
      <w:r w:rsidR="00424026" w:rsidRPr="00424026">
        <w:rPr>
          <w:rFonts w:cs="Arial"/>
        </w:rPr>
        <w:t xml:space="preserve"> euros </w:t>
      </w:r>
      <w:r w:rsidR="004F112F">
        <w:rPr>
          <w:rFonts w:cs="Arial"/>
        </w:rPr>
        <w:t xml:space="preserve">al 31 de diciembre de </w:t>
      </w:r>
      <w:r w:rsidR="004F112F" w:rsidRPr="004F112F">
        <w:rPr>
          <w:rFonts w:cs="Arial"/>
        </w:rPr>
        <w:t>20</w:t>
      </w:r>
      <w:r w:rsidR="00FD22CF">
        <w:rPr>
          <w:rFonts w:cs="Arial"/>
        </w:rPr>
        <w:t>2</w:t>
      </w:r>
      <w:r w:rsidR="000A6927">
        <w:rPr>
          <w:rFonts w:cs="Arial"/>
        </w:rPr>
        <w:t>3</w:t>
      </w:r>
      <w:r w:rsidR="00AB5C92">
        <w:rPr>
          <w:rFonts w:cs="Arial"/>
        </w:rPr>
        <w:t>)</w:t>
      </w:r>
      <w:r w:rsidR="0067451A" w:rsidRPr="00304FE4">
        <w:rPr>
          <w:rFonts w:cs="Arial"/>
        </w:rPr>
        <w:t>.</w:t>
      </w:r>
      <w:r w:rsidR="00B15952">
        <w:rPr>
          <w:rFonts w:cs="Arial"/>
        </w:rPr>
        <w:t xml:space="preserve"> </w:t>
      </w:r>
    </w:p>
    <w:p w14:paraId="7550AA4E" w14:textId="77777777" w:rsidR="00EE252F" w:rsidRPr="00304FE4" w:rsidRDefault="00EE252F" w:rsidP="00EE252F">
      <w:pPr>
        <w:spacing w:before="240"/>
        <w:rPr>
          <w:rFonts w:cs="Arial"/>
        </w:rPr>
      </w:pPr>
      <w:r w:rsidRPr="00680B64">
        <w:rPr>
          <w:rFonts w:cs="Arial"/>
        </w:rPr>
        <w:t>La Sociedad tiene contratadas pólizas de seguros que garantizan la recuperabilidad del valor neto contable de las existencias.</w:t>
      </w:r>
    </w:p>
    <w:p w14:paraId="32A26DBE" w14:textId="752B7EB9" w:rsidR="002143BB" w:rsidRPr="00304FE4" w:rsidRDefault="00A42F14" w:rsidP="00EE252F">
      <w:pPr>
        <w:spacing w:before="240"/>
        <w:rPr>
          <w:rFonts w:cs="Arial"/>
        </w:rPr>
      </w:pPr>
      <w:r w:rsidRPr="00304FE4">
        <w:rPr>
          <w:rFonts w:cs="Arial"/>
        </w:rPr>
        <w:t xml:space="preserve">No ha habido </w:t>
      </w:r>
      <w:r w:rsidR="00EE252F" w:rsidRPr="00304FE4">
        <w:rPr>
          <w:rFonts w:cs="Arial"/>
        </w:rPr>
        <w:t xml:space="preserve">movimientos de correcciones valorativas por deterioro </w:t>
      </w:r>
      <w:r w:rsidRPr="00304FE4">
        <w:rPr>
          <w:rFonts w:cs="Arial"/>
        </w:rPr>
        <w:t>en el ejercicio</w:t>
      </w:r>
      <w:r w:rsidR="002B327B">
        <w:rPr>
          <w:rFonts w:cs="Arial"/>
        </w:rPr>
        <w:t xml:space="preserve"> 202</w:t>
      </w:r>
      <w:r w:rsidR="000A6927">
        <w:rPr>
          <w:rFonts w:cs="Arial"/>
        </w:rPr>
        <w:t>4</w:t>
      </w:r>
      <w:r w:rsidR="002B327B">
        <w:rPr>
          <w:rFonts w:cs="Arial"/>
        </w:rPr>
        <w:t xml:space="preserve"> y 202</w:t>
      </w:r>
      <w:r w:rsidR="000A6927">
        <w:rPr>
          <w:rFonts w:cs="Arial"/>
        </w:rPr>
        <w:t>3</w:t>
      </w:r>
      <w:r w:rsidRPr="00304FE4">
        <w:rPr>
          <w:rFonts w:cs="Arial"/>
        </w:rPr>
        <w:t>.</w:t>
      </w:r>
    </w:p>
    <w:p w14:paraId="12F2BD04" w14:textId="77777777" w:rsidR="00AC751B" w:rsidRPr="007E79B2" w:rsidRDefault="00AC751B" w:rsidP="00B23249">
      <w:pPr>
        <w:rPr>
          <w:highlight w:val="yellow"/>
        </w:rPr>
      </w:pPr>
    </w:p>
    <w:p w14:paraId="1B4EC419" w14:textId="77777777" w:rsidR="00352ED5" w:rsidRPr="006C264A" w:rsidRDefault="004B6895" w:rsidP="00560402">
      <w:pPr>
        <w:spacing w:before="240"/>
        <w:rPr>
          <w:rFonts w:cs="Arial"/>
          <w:b/>
        </w:rPr>
      </w:pPr>
      <w:r>
        <w:rPr>
          <w:rFonts w:cs="Arial"/>
          <w:b/>
        </w:rPr>
        <w:t>10</w:t>
      </w:r>
      <w:r w:rsidR="00560402" w:rsidRPr="00304FE4">
        <w:rPr>
          <w:rFonts w:cs="Arial"/>
          <w:b/>
        </w:rPr>
        <w:t xml:space="preserve">. </w:t>
      </w:r>
      <w:r w:rsidR="00560402" w:rsidRPr="00304FE4">
        <w:rPr>
          <w:rFonts w:cs="Arial"/>
          <w:b/>
        </w:rPr>
        <w:tab/>
      </w:r>
      <w:r w:rsidR="00560402" w:rsidRPr="006C264A">
        <w:rPr>
          <w:rFonts w:cs="Arial"/>
          <w:b/>
        </w:rPr>
        <w:t>E</w:t>
      </w:r>
      <w:r w:rsidR="00352ED5" w:rsidRPr="006C264A">
        <w:rPr>
          <w:rFonts w:cs="Arial"/>
          <w:b/>
        </w:rPr>
        <w:t>FECTIVO Y OTROS ACTIVOS LÍQUIDOS EQUIVALENTES</w:t>
      </w:r>
    </w:p>
    <w:p w14:paraId="345FCFF3" w14:textId="11BB28AD" w:rsidR="0019124B" w:rsidRDefault="00352ED5" w:rsidP="00393237">
      <w:pPr>
        <w:spacing w:before="240"/>
        <w:rPr>
          <w:rFonts w:cs="Arial"/>
        </w:rPr>
      </w:pPr>
      <w:r w:rsidRPr="006C264A">
        <w:rPr>
          <w:rFonts w:cs="Arial"/>
        </w:rPr>
        <w:t>La composición de este epígrafe al 31 de diciembre es la siguiente:</w:t>
      </w:r>
    </w:p>
    <w:p w14:paraId="22E61AA3" w14:textId="77777777" w:rsidR="003E640A" w:rsidRPr="006C264A" w:rsidRDefault="003E640A" w:rsidP="00393237">
      <w:pPr>
        <w:spacing w:before="240"/>
        <w:rPr>
          <w:rFonts w:cs="Arial"/>
        </w:rPr>
      </w:pPr>
    </w:p>
    <w:bookmarkStart w:id="34" w:name="_MON_1547891024"/>
    <w:bookmarkEnd w:id="34"/>
    <w:bookmarkStart w:id="35" w:name="_MON_1421495174"/>
    <w:bookmarkEnd w:id="35"/>
    <w:p w14:paraId="5AB9741E" w14:textId="520D566E" w:rsidR="008C1CDF" w:rsidRPr="007E79B2" w:rsidRDefault="000A6927" w:rsidP="00710604">
      <w:pPr>
        <w:jc w:val="center"/>
        <w:rPr>
          <w:rFonts w:cs="Arial"/>
          <w:highlight w:val="yellow"/>
        </w:rPr>
      </w:pPr>
      <w:r w:rsidRPr="00A53BF6">
        <w:rPr>
          <w:rFonts w:cs="Arial"/>
        </w:rPr>
        <w:object w:dxaOrig="6098" w:dyaOrig="1448" w14:anchorId="02823EFB">
          <v:shape id="_x0000_i1042" type="#_x0000_t75" style="width:306.7pt;height:74.8pt" o:ole="">
            <v:imagedata r:id="rId52" o:title=""/>
          </v:shape>
          <o:OLEObject Type="Embed" ProgID="Excel.Sheet.8" ShapeID="_x0000_i1042" DrawAspect="Content" ObjectID="_1805087276" r:id="rId53"/>
        </w:object>
      </w:r>
    </w:p>
    <w:p w14:paraId="38C5ADCE" w14:textId="3E04F7EB" w:rsidR="00352ED5" w:rsidRDefault="00352ED5" w:rsidP="00352ED5">
      <w:pPr>
        <w:spacing w:before="240"/>
        <w:rPr>
          <w:rFonts w:cs="Arial"/>
        </w:rPr>
      </w:pPr>
      <w:r w:rsidRPr="00BE6295">
        <w:rPr>
          <w:rFonts w:cs="Arial"/>
        </w:rPr>
        <w:lastRenderedPageBreak/>
        <w:t>Las cuentas corrientes devengan el tipo de interés de mer</w:t>
      </w:r>
      <w:r w:rsidR="008C1CDF" w:rsidRPr="00BE6295">
        <w:rPr>
          <w:rFonts w:cs="Arial"/>
        </w:rPr>
        <w:t>cado para este tipo de cuentas.</w:t>
      </w:r>
      <w:r w:rsidR="003F6DF2">
        <w:rPr>
          <w:rFonts w:cs="Arial"/>
        </w:rPr>
        <w:t xml:space="preserve"> </w:t>
      </w:r>
      <w:r w:rsidRPr="00BE6295">
        <w:rPr>
          <w:rFonts w:cs="Arial"/>
        </w:rPr>
        <w:t>No existen restricciones a la disponibilidad de estos saldos.</w:t>
      </w:r>
    </w:p>
    <w:p w14:paraId="0027ABC0" w14:textId="77777777" w:rsidR="00AC751B" w:rsidRDefault="00AC751B" w:rsidP="00352ED5">
      <w:pPr>
        <w:spacing w:before="240"/>
        <w:rPr>
          <w:rFonts w:cs="Arial"/>
        </w:rPr>
      </w:pPr>
    </w:p>
    <w:p w14:paraId="0A49F96F" w14:textId="0CF5524E" w:rsidR="000F23F6" w:rsidRDefault="00560402" w:rsidP="00815830">
      <w:pPr>
        <w:spacing w:before="240"/>
        <w:rPr>
          <w:rFonts w:cs="Arial"/>
          <w:b/>
        </w:rPr>
      </w:pPr>
      <w:r w:rsidRPr="009B38DE">
        <w:rPr>
          <w:rFonts w:cs="Arial"/>
          <w:b/>
        </w:rPr>
        <w:t>1</w:t>
      </w:r>
      <w:r w:rsidR="004B6895" w:rsidRPr="009B38DE">
        <w:rPr>
          <w:rFonts w:cs="Arial"/>
          <w:b/>
        </w:rPr>
        <w:t>1</w:t>
      </w:r>
      <w:r w:rsidR="00815830" w:rsidRPr="009B38DE">
        <w:rPr>
          <w:rFonts w:cs="Arial"/>
          <w:b/>
        </w:rPr>
        <w:t>.</w:t>
      </w:r>
      <w:r w:rsidR="00815830" w:rsidRPr="009B38DE">
        <w:rPr>
          <w:rFonts w:cs="Arial"/>
          <w:b/>
        </w:rPr>
        <w:tab/>
      </w:r>
      <w:r w:rsidR="00352ED5" w:rsidRPr="009B38DE">
        <w:rPr>
          <w:rFonts w:cs="Arial"/>
          <w:b/>
        </w:rPr>
        <w:t xml:space="preserve">PATRIMONIO NETO </w:t>
      </w:r>
      <w:r w:rsidR="00815830" w:rsidRPr="009B38DE">
        <w:rPr>
          <w:rFonts w:cs="Arial"/>
          <w:b/>
        </w:rPr>
        <w:t>–</w:t>
      </w:r>
      <w:r w:rsidR="00352ED5" w:rsidRPr="009B38DE">
        <w:rPr>
          <w:rFonts w:cs="Arial"/>
          <w:b/>
        </w:rPr>
        <w:t xml:space="preserve"> FONDOS PROPIOS</w:t>
      </w:r>
    </w:p>
    <w:p w14:paraId="52F2CF85" w14:textId="77777777" w:rsidR="00352ED5" w:rsidRPr="001128C3" w:rsidRDefault="007279CF" w:rsidP="00815830">
      <w:pPr>
        <w:spacing w:before="240"/>
        <w:jc w:val="left"/>
        <w:rPr>
          <w:rFonts w:cs="Arial"/>
          <w:b/>
        </w:rPr>
      </w:pPr>
      <w:r w:rsidRPr="007279CF">
        <w:rPr>
          <w:rFonts w:cs="Arial"/>
          <w:b/>
        </w:rPr>
        <w:t>1</w:t>
      </w:r>
      <w:r w:rsidR="004B6895">
        <w:rPr>
          <w:rFonts w:cs="Arial"/>
          <w:b/>
        </w:rPr>
        <w:t>1</w:t>
      </w:r>
      <w:r w:rsidRPr="007279CF">
        <w:rPr>
          <w:rFonts w:cs="Arial"/>
          <w:b/>
        </w:rPr>
        <w:t>.1</w:t>
      </w:r>
      <w:r w:rsidRPr="007279CF">
        <w:rPr>
          <w:rFonts w:cs="Arial"/>
          <w:b/>
        </w:rPr>
        <w:tab/>
        <w:t>Capital escriturado</w:t>
      </w:r>
    </w:p>
    <w:p w14:paraId="481003FF" w14:textId="3FC0E1A0" w:rsidR="004259A4" w:rsidRPr="009B38DE" w:rsidRDefault="00B26D5F" w:rsidP="00352ED5">
      <w:pPr>
        <w:spacing w:before="240"/>
        <w:rPr>
          <w:rFonts w:cs="Arial"/>
        </w:rPr>
      </w:pPr>
      <w:r w:rsidRPr="009B38DE">
        <w:rPr>
          <w:rFonts w:cs="Arial"/>
        </w:rPr>
        <w:t>A</w:t>
      </w:r>
      <w:r w:rsidR="004259A4" w:rsidRPr="009B38DE">
        <w:rPr>
          <w:rFonts w:cs="Arial"/>
        </w:rPr>
        <w:t>l 31 de diciembre de 20</w:t>
      </w:r>
      <w:r w:rsidR="00FD22CF" w:rsidRPr="009B38DE">
        <w:rPr>
          <w:rFonts w:cs="Arial"/>
        </w:rPr>
        <w:t>2</w:t>
      </w:r>
      <w:r w:rsidR="000A6927">
        <w:rPr>
          <w:rFonts w:cs="Arial"/>
        </w:rPr>
        <w:t>4</w:t>
      </w:r>
      <w:r w:rsidR="004259A4" w:rsidRPr="009B38DE">
        <w:rPr>
          <w:rFonts w:cs="Arial"/>
        </w:rPr>
        <w:t>, el capital de la Sociedad e</w:t>
      </w:r>
      <w:r w:rsidR="00950C10" w:rsidRPr="009B38DE">
        <w:rPr>
          <w:rFonts w:cs="Arial"/>
        </w:rPr>
        <w:t>ra</w:t>
      </w:r>
      <w:r w:rsidR="004259A4" w:rsidRPr="009B38DE">
        <w:rPr>
          <w:rFonts w:cs="Arial"/>
        </w:rPr>
        <w:t xml:space="preserve"> de </w:t>
      </w:r>
      <w:r w:rsidR="001F1A22" w:rsidRPr="009B38DE">
        <w:rPr>
          <w:rFonts w:cs="Arial"/>
        </w:rPr>
        <w:t xml:space="preserve">3.143.883,31 </w:t>
      </w:r>
      <w:r w:rsidR="004259A4" w:rsidRPr="009B38DE">
        <w:rPr>
          <w:rFonts w:cs="Arial"/>
        </w:rPr>
        <w:t xml:space="preserve">euros, compuesto por </w:t>
      </w:r>
      <w:r w:rsidR="001F1A22" w:rsidRPr="009B38DE">
        <w:rPr>
          <w:rFonts w:cs="Arial"/>
        </w:rPr>
        <w:t>5.231</w:t>
      </w:r>
      <w:r w:rsidR="004259A4" w:rsidRPr="009B38DE">
        <w:rPr>
          <w:rFonts w:cs="Arial"/>
        </w:rPr>
        <w:t xml:space="preserve"> acciones de 601,01 euros de valor nominal </w:t>
      </w:r>
      <w:bookmarkStart w:id="36" w:name="_Hlk34132380"/>
      <w:r w:rsidR="004259A4" w:rsidRPr="009B38DE">
        <w:rPr>
          <w:rFonts w:cs="Arial"/>
        </w:rPr>
        <w:t>cada una, totalmente suscritas y desembolsadas. Todas las acciones son de la misma clase, otorgan los mismos derechos y no cotizan en bolsa.</w:t>
      </w:r>
      <w:bookmarkEnd w:id="36"/>
    </w:p>
    <w:p w14:paraId="21D95B4F" w14:textId="69627DFD" w:rsidR="00352ED5" w:rsidRDefault="00352ED5" w:rsidP="003F6DF2">
      <w:pPr>
        <w:spacing w:before="240"/>
        <w:rPr>
          <w:rFonts w:cs="Arial"/>
        </w:rPr>
      </w:pPr>
      <w:r w:rsidRPr="009B38DE">
        <w:rPr>
          <w:rFonts w:cs="Arial"/>
        </w:rPr>
        <w:t>El detalle de los accionistas y su participación en el capital al 31 de diciembre es el siguiente:</w:t>
      </w:r>
    </w:p>
    <w:p w14:paraId="2A90B7E6" w14:textId="77777777" w:rsidR="00123264" w:rsidRPr="008B38E3" w:rsidRDefault="00123264" w:rsidP="00352ED5">
      <w:pPr>
        <w:jc w:val="right"/>
        <w:rPr>
          <w:rFonts w:cs="Arial"/>
        </w:rPr>
      </w:pPr>
    </w:p>
    <w:tbl>
      <w:tblPr>
        <w:tblW w:w="8931" w:type="dxa"/>
        <w:jc w:val="center"/>
        <w:tblLayout w:type="fixed"/>
        <w:tblCellMar>
          <w:left w:w="99" w:type="dxa"/>
          <w:right w:w="99" w:type="dxa"/>
        </w:tblCellMar>
        <w:tblLook w:val="0000" w:firstRow="0" w:lastRow="0" w:firstColumn="0" w:lastColumn="0" w:noHBand="0" w:noVBand="0"/>
      </w:tblPr>
      <w:tblGrid>
        <w:gridCol w:w="6804"/>
        <w:gridCol w:w="1134"/>
        <w:gridCol w:w="993"/>
      </w:tblGrid>
      <w:tr w:rsidR="00453CC9" w:rsidRPr="008B38E3" w14:paraId="1FBB64BA"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0CEBB000" w14:textId="77777777" w:rsidR="00453CC9" w:rsidRPr="008B38E3" w:rsidRDefault="00453CC9" w:rsidP="00352ED5">
            <w:pPr>
              <w:rPr>
                <w:rFonts w:cs="Arial"/>
                <w:b/>
                <w:sz w:val="16"/>
                <w:szCs w:val="16"/>
              </w:rPr>
            </w:pPr>
          </w:p>
        </w:tc>
        <w:tc>
          <w:tcPr>
            <w:tcW w:w="1134" w:type="dxa"/>
            <w:tcBorders>
              <w:top w:val="single" w:sz="4" w:space="0" w:color="auto"/>
              <w:bottom w:val="single" w:sz="4" w:space="0" w:color="auto"/>
            </w:tcBorders>
            <w:shd w:val="clear" w:color="auto" w:fill="BFBFBF"/>
            <w:vAlign w:val="bottom"/>
          </w:tcPr>
          <w:p w14:paraId="48CBA161" w14:textId="4301DEF0" w:rsidR="00453CC9" w:rsidRPr="008B38E3" w:rsidRDefault="00453CC9" w:rsidP="00823569">
            <w:pPr>
              <w:jc w:val="center"/>
              <w:rPr>
                <w:rFonts w:cs="Arial"/>
                <w:b/>
                <w:sz w:val="16"/>
                <w:szCs w:val="16"/>
              </w:rPr>
            </w:pPr>
            <w:r w:rsidRPr="008B38E3">
              <w:rPr>
                <w:rFonts w:cs="Arial"/>
                <w:b/>
                <w:sz w:val="16"/>
                <w:szCs w:val="16"/>
              </w:rPr>
              <w:t>20</w:t>
            </w:r>
            <w:r w:rsidR="00125982">
              <w:rPr>
                <w:rFonts w:cs="Arial"/>
                <w:b/>
                <w:sz w:val="16"/>
                <w:szCs w:val="16"/>
              </w:rPr>
              <w:t>2</w:t>
            </w:r>
            <w:r w:rsidR="000A6927">
              <w:rPr>
                <w:rFonts w:cs="Arial"/>
                <w:b/>
                <w:sz w:val="16"/>
                <w:szCs w:val="16"/>
              </w:rPr>
              <w:t>4</w:t>
            </w:r>
          </w:p>
        </w:tc>
        <w:tc>
          <w:tcPr>
            <w:tcW w:w="993" w:type="dxa"/>
            <w:tcBorders>
              <w:top w:val="single" w:sz="4" w:space="0" w:color="auto"/>
              <w:bottom w:val="single" w:sz="4" w:space="0" w:color="auto"/>
            </w:tcBorders>
            <w:shd w:val="clear" w:color="auto" w:fill="BFBFBF"/>
            <w:vAlign w:val="bottom"/>
          </w:tcPr>
          <w:p w14:paraId="46FAD49D" w14:textId="57F9B290" w:rsidR="00453CC9" w:rsidRPr="008B38E3" w:rsidRDefault="00453CC9" w:rsidP="00143EFD">
            <w:pPr>
              <w:jc w:val="center"/>
              <w:rPr>
                <w:rFonts w:cs="Arial"/>
                <w:b/>
                <w:sz w:val="16"/>
                <w:szCs w:val="16"/>
              </w:rPr>
            </w:pPr>
            <w:r w:rsidRPr="008B38E3">
              <w:rPr>
                <w:rFonts w:cs="Arial"/>
                <w:b/>
                <w:sz w:val="16"/>
                <w:szCs w:val="16"/>
              </w:rPr>
              <w:t>20</w:t>
            </w:r>
            <w:r w:rsidR="001F1A22">
              <w:rPr>
                <w:rFonts w:cs="Arial"/>
                <w:b/>
                <w:sz w:val="16"/>
                <w:szCs w:val="16"/>
              </w:rPr>
              <w:t>2</w:t>
            </w:r>
            <w:r w:rsidR="000A6927">
              <w:rPr>
                <w:rFonts w:cs="Arial"/>
                <w:b/>
                <w:sz w:val="16"/>
                <w:szCs w:val="16"/>
              </w:rPr>
              <w:t>3</w:t>
            </w:r>
          </w:p>
        </w:tc>
      </w:tr>
      <w:tr w:rsidR="00453CC9" w:rsidRPr="008B38E3" w14:paraId="6CA8FAB4" w14:textId="77777777" w:rsidTr="00E66CBE">
        <w:trPr>
          <w:cantSplit/>
          <w:jc w:val="center"/>
        </w:trPr>
        <w:tc>
          <w:tcPr>
            <w:tcW w:w="6804" w:type="dxa"/>
            <w:tcBorders>
              <w:top w:val="single" w:sz="4" w:space="0" w:color="auto"/>
            </w:tcBorders>
            <w:vAlign w:val="bottom"/>
          </w:tcPr>
          <w:p w14:paraId="7313F74D" w14:textId="77777777" w:rsidR="00453CC9" w:rsidRPr="008B38E3" w:rsidRDefault="00453CC9" w:rsidP="00352ED5">
            <w:pPr>
              <w:rPr>
                <w:rFonts w:cs="Arial"/>
                <w:sz w:val="16"/>
                <w:szCs w:val="16"/>
              </w:rPr>
            </w:pPr>
          </w:p>
        </w:tc>
        <w:tc>
          <w:tcPr>
            <w:tcW w:w="1134" w:type="dxa"/>
            <w:tcBorders>
              <w:top w:val="single" w:sz="4" w:space="0" w:color="auto"/>
            </w:tcBorders>
            <w:vAlign w:val="bottom"/>
          </w:tcPr>
          <w:p w14:paraId="60034CF7" w14:textId="77777777" w:rsidR="00453CC9" w:rsidRPr="008B38E3" w:rsidRDefault="00453CC9" w:rsidP="00453CC9">
            <w:pPr>
              <w:ind w:left="227" w:right="227"/>
              <w:jc w:val="center"/>
              <w:rPr>
                <w:rFonts w:cs="Arial"/>
                <w:sz w:val="16"/>
                <w:szCs w:val="16"/>
              </w:rPr>
            </w:pPr>
          </w:p>
        </w:tc>
        <w:tc>
          <w:tcPr>
            <w:tcW w:w="993" w:type="dxa"/>
            <w:tcBorders>
              <w:top w:val="single" w:sz="4" w:space="0" w:color="auto"/>
            </w:tcBorders>
            <w:vAlign w:val="bottom"/>
          </w:tcPr>
          <w:p w14:paraId="79AC93A4" w14:textId="77777777" w:rsidR="00453CC9" w:rsidRPr="008B38E3" w:rsidRDefault="00453CC9" w:rsidP="00453CC9">
            <w:pPr>
              <w:ind w:left="227" w:right="227"/>
              <w:jc w:val="center"/>
              <w:rPr>
                <w:rFonts w:cs="Arial"/>
                <w:sz w:val="16"/>
                <w:szCs w:val="16"/>
              </w:rPr>
            </w:pPr>
          </w:p>
        </w:tc>
      </w:tr>
      <w:tr w:rsidR="00453CC9" w:rsidRPr="008B38E3" w14:paraId="3E6DB70E" w14:textId="77777777" w:rsidTr="00E66CBE">
        <w:trPr>
          <w:cantSplit/>
          <w:jc w:val="center"/>
        </w:trPr>
        <w:tc>
          <w:tcPr>
            <w:tcW w:w="6804" w:type="dxa"/>
            <w:tcBorders>
              <w:bottom w:val="single" w:sz="4" w:space="0" w:color="auto"/>
            </w:tcBorders>
            <w:vAlign w:val="bottom"/>
          </w:tcPr>
          <w:p w14:paraId="29A6BC9C" w14:textId="77777777" w:rsidR="00453CC9" w:rsidRPr="008B38E3" w:rsidRDefault="00453CC9" w:rsidP="00352ED5">
            <w:pPr>
              <w:rPr>
                <w:rFonts w:cs="Arial"/>
                <w:sz w:val="16"/>
                <w:szCs w:val="16"/>
              </w:rPr>
            </w:pPr>
            <w:r w:rsidRPr="008B38E3">
              <w:rPr>
                <w:rFonts w:cs="Arial"/>
                <w:sz w:val="16"/>
                <w:szCs w:val="16"/>
              </w:rPr>
              <w:t>Consejería de Agricultura, Ganadería, Pesca y Alimentación del Gobierno de Canarias</w:t>
            </w:r>
          </w:p>
        </w:tc>
        <w:tc>
          <w:tcPr>
            <w:tcW w:w="1134" w:type="dxa"/>
            <w:tcBorders>
              <w:bottom w:val="single" w:sz="4" w:space="0" w:color="auto"/>
            </w:tcBorders>
            <w:vAlign w:val="bottom"/>
          </w:tcPr>
          <w:p w14:paraId="7C9E71D4" w14:textId="77777777" w:rsidR="00453CC9" w:rsidRPr="008B38E3" w:rsidRDefault="00453CC9" w:rsidP="00453CC9">
            <w:pPr>
              <w:jc w:val="center"/>
              <w:rPr>
                <w:rFonts w:cs="Arial"/>
                <w:sz w:val="16"/>
                <w:szCs w:val="16"/>
              </w:rPr>
            </w:pPr>
            <w:r w:rsidRPr="008B38E3">
              <w:rPr>
                <w:rFonts w:cs="Arial"/>
                <w:sz w:val="16"/>
                <w:szCs w:val="16"/>
              </w:rPr>
              <w:t>100%</w:t>
            </w:r>
          </w:p>
        </w:tc>
        <w:tc>
          <w:tcPr>
            <w:tcW w:w="993" w:type="dxa"/>
            <w:tcBorders>
              <w:bottom w:val="single" w:sz="4" w:space="0" w:color="auto"/>
            </w:tcBorders>
            <w:vAlign w:val="bottom"/>
          </w:tcPr>
          <w:p w14:paraId="6581C4F4" w14:textId="77777777" w:rsidR="00453CC9" w:rsidRPr="008B38E3" w:rsidRDefault="00453CC9" w:rsidP="00453CC9">
            <w:pPr>
              <w:jc w:val="center"/>
              <w:rPr>
                <w:rFonts w:cs="Arial"/>
                <w:sz w:val="16"/>
                <w:szCs w:val="16"/>
              </w:rPr>
            </w:pPr>
            <w:r w:rsidRPr="008B38E3">
              <w:rPr>
                <w:rFonts w:cs="Arial"/>
                <w:sz w:val="16"/>
                <w:szCs w:val="16"/>
              </w:rPr>
              <w:t>100%</w:t>
            </w:r>
          </w:p>
        </w:tc>
      </w:tr>
      <w:tr w:rsidR="00453CC9" w:rsidRPr="008B38E3" w14:paraId="458A1F25"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12147BF1" w14:textId="77777777" w:rsidR="00453CC9" w:rsidRPr="008B38E3" w:rsidRDefault="00453CC9" w:rsidP="00352ED5">
            <w:pPr>
              <w:tabs>
                <w:tab w:val="left" w:pos="142"/>
              </w:tabs>
              <w:rPr>
                <w:rFonts w:cs="Arial"/>
                <w:b/>
                <w:sz w:val="16"/>
                <w:szCs w:val="16"/>
              </w:rPr>
            </w:pPr>
          </w:p>
        </w:tc>
        <w:tc>
          <w:tcPr>
            <w:tcW w:w="1134" w:type="dxa"/>
            <w:tcBorders>
              <w:top w:val="single" w:sz="4" w:space="0" w:color="auto"/>
              <w:bottom w:val="single" w:sz="4" w:space="0" w:color="auto"/>
            </w:tcBorders>
            <w:shd w:val="clear" w:color="auto" w:fill="BFBFBF"/>
            <w:vAlign w:val="bottom"/>
          </w:tcPr>
          <w:p w14:paraId="36E37696" w14:textId="77777777" w:rsidR="00453CC9" w:rsidRPr="008B38E3" w:rsidRDefault="00453CC9" w:rsidP="00453CC9">
            <w:pPr>
              <w:jc w:val="center"/>
              <w:rPr>
                <w:rFonts w:cs="Arial"/>
                <w:b/>
                <w:sz w:val="16"/>
                <w:szCs w:val="16"/>
              </w:rPr>
            </w:pPr>
            <w:r w:rsidRPr="008B38E3">
              <w:rPr>
                <w:rFonts w:cs="Arial"/>
                <w:b/>
                <w:sz w:val="16"/>
                <w:szCs w:val="16"/>
              </w:rPr>
              <w:t>100%</w:t>
            </w:r>
          </w:p>
        </w:tc>
        <w:tc>
          <w:tcPr>
            <w:tcW w:w="993" w:type="dxa"/>
            <w:tcBorders>
              <w:top w:val="single" w:sz="4" w:space="0" w:color="auto"/>
              <w:bottom w:val="single" w:sz="4" w:space="0" w:color="auto"/>
            </w:tcBorders>
            <w:shd w:val="clear" w:color="auto" w:fill="BFBFBF"/>
            <w:vAlign w:val="bottom"/>
          </w:tcPr>
          <w:p w14:paraId="4F492E82" w14:textId="77777777" w:rsidR="00453CC9" w:rsidRPr="008B38E3" w:rsidRDefault="00453CC9" w:rsidP="00453CC9">
            <w:pPr>
              <w:jc w:val="center"/>
              <w:rPr>
                <w:rFonts w:cs="Arial"/>
                <w:b/>
                <w:sz w:val="16"/>
                <w:szCs w:val="16"/>
              </w:rPr>
            </w:pPr>
            <w:r w:rsidRPr="008B38E3">
              <w:rPr>
                <w:rFonts w:cs="Arial"/>
                <w:b/>
                <w:sz w:val="16"/>
                <w:szCs w:val="16"/>
              </w:rPr>
              <w:t>100%</w:t>
            </w:r>
          </w:p>
        </w:tc>
      </w:tr>
    </w:tbl>
    <w:p w14:paraId="5ED9BA30" w14:textId="77777777" w:rsidR="006B2F7D" w:rsidRDefault="006B2F7D" w:rsidP="00815830">
      <w:pPr>
        <w:jc w:val="left"/>
        <w:rPr>
          <w:rFonts w:cs="Arial"/>
          <w:b/>
          <w:highlight w:val="yellow"/>
        </w:rPr>
      </w:pPr>
    </w:p>
    <w:p w14:paraId="21BA75BB" w14:textId="77777777" w:rsidR="00870C26" w:rsidRDefault="00870C26" w:rsidP="0046482B">
      <w:pPr>
        <w:rPr>
          <w:rFonts w:cs="Arial"/>
          <w:bCs/>
        </w:rPr>
      </w:pPr>
    </w:p>
    <w:p w14:paraId="4D6FB00F" w14:textId="1C9EB8AB" w:rsidR="00A30AC1" w:rsidRPr="0046482B" w:rsidRDefault="0046482B" w:rsidP="0046482B">
      <w:pPr>
        <w:rPr>
          <w:rFonts w:cs="Arial"/>
          <w:bCs/>
        </w:rPr>
      </w:pPr>
      <w:r w:rsidRPr="0046482B">
        <w:rPr>
          <w:rFonts w:cs="Arial"/>
          <w:bCs/>
        </w:rPr>
        <w:t>El 5 de diciembre de 2024, e</w:t>
      </w:r>
      <w:r w:rsidR="00A30AC1" w:rsidRPr="0046482B">
        <w:rPr>
          <w:rFonts w:cs="Arial"/>
          <w:bCs/>
        </w:rPr>
        <w:t xml:space="preserve">l </w:t>
      </w:r>
      <w:r w:rsidRPr="0046482B">
        <w:rPr>
          <w:rFonts w:cs="Arial"/>
          <w:bCs/>
        </w:rPr>
        <w:t>C</w:t>
      </w:r>
      <w:r w:rsidR="00A30AC1" w:rsidRPr="0046482B">
        <w:rPr>
          <w:rFonts w:cs="Arial"/>
          <w:bCs/>
        </w:rPr>
        <w:t xml:space="preserve">onsejo de </w:t>
      </w:r>
      <w:r w:rsidRPr="0046482B">
        <w:rPr>
          <w:rFonts w:cs="Arial"/>
          <w:bCs/>
        </w:rPr>
        <w:t>A</w:t>
      </w:r>
      <w:r w:rsidR="00A30AC1" w:rsidRPr="0046482B">
        <w:rPr>
          <w:rFonts w:cs="Arial"/>
          <w:bCs/>
        </w:rPr>
        <w:t xml:space="preserve">dministración </w:t>
      </w:r>
      <w:r w:rsidRPr="0046482B">
        <w:rPr>
          <w:rFonts w:cs="Arial"/>
          <w:bCs/>
        </w:rPr>
        <w:t xml:space="preserve">de la Sociedad </w:t>
      </w:r>
      <w:r w:rsidR="00A30AC1" w:rsidRPr="0046482B">
        <w:rPr>
          <w:rFonts w:cs="Arial"/>
          <w:bCs/>
        </w:rPr>
        <w:t>aprobó</w:t>
      </w:r>
      <w:r w:rsidRPr="0046482B">
        <w:rPr>
          <w:rFonts w:cs="Arial"/>
          <w:bCs/>
        </w:rPr>
        <w:t xml:space="preserve"> </w:t>
      </w:r>
      <w:r w:rsidR="00A30AC1" w:rsidRPr="0046482B">
        <w:rPr>
          <w:rFonts w:cs="Arial"/>
          <w:bCs/>
        </w:rPr>
        <w:t xml:space="preserve">proponer a la </w:t>
      </w:r>
      <w:r w:rsidRPr="0046482B">
        <w:rPr>
          <w:rFonts w:cs="Arial"/>
          <w:bCs/>
        </w:rPr>
        <w:t>J</w:t>
      </w:r>
      <w:r w:rsidR="00A30AC1" w:rsidRPr="0046482B">
        <w:rPr>
          <w:rFonts w:cs="Arial"/>
          <w:bCs/>
        </w:rPr>
        <w:t xml:space="preserve">unta </w:t>
      </w:r>
      <w:r w:rsidRPr="0046482B">
        <w:rPr>
          <w:rFonts w:cs="Arial"/>
          <w:bCs/>
        </w:rPr>
        <w:t>G</w:t>
      </w:r>
      <w:r w:rsidR="00A30AC1" w:rsidRPr="0046482B">
        <w:rPr>
          <w:rFonts w:cs="Arial"/>
          <w:bCs/>
        </w:rPr>
        <w:t>eneral de accionistas una ampliación de capital</w:t>
      </w:r>
      <w:r w:rsidRPr="0046482B">
        <w:rPr>
          <w:rFonts w:cs="Arial"/>
          <w:bCs/>
        </w:rPr>
        <w:t xml:space="preserve"> por importe </w:t>
      </w:r>
      <w:r w:rsidR="00A30AC1" w:rsidRPr="0046482B">
        <w:rPr>
          <w:rFonts w:cs="Arial"/>
          <w:bCs/>
        </w:rPr>
        <w:t xml:space="preserve">de </w:t>
      </w:r>
      <w:r w:rsidRPr="0046482B">
        <w:rPr>
          <w:rFonts w:cs="Arial"/>
          <w:bCs/>
        </w:rPr>
        <w:t>999.479,63</w:t>
      </w:r>
      <w:r w:rsidR="00A30AC1" w:rsidRPr="0046482B">
        <w:rPr>
          <w:rFonts w:cs="Arial"/>
          <w:bCs/>
        </w:rPr>
        <w:t xml:space="preserve"> euros</w:t>
      </w:r>
      <w:r w:rsidRPr="0046482B">
        <w:rPr>
          <w:rFonts w:cs="Arial"/>
          <w:bCs/>
        </w:rPr>
        <w:t>, mediante la emisión de 1663 acciones, con valor nominal cada una de 601,01 euros.</w:t>
      </w:r>
      <w:r w:rsidR="000140E0">
        <w:rPr>
          <w:rFonts w:cs="Arial"/>
          <w:bCs/>
        </w:rPr>
        <w:t xml:space="preserve"> A la fecha de formulación de las presentes cuentas anuales, dicha ampliación no ha sido aprobada por su accionista único, </w:t>
      </w:r>
      <w:proofErr w:type="gramStart"/>
      <w:r w:rsidR="000140E0">
        <w:rPr>
          <w:rFonts w:cs="Arial"/>
          <w:bCs/>
        </w:rPr>
        <w:t>y</w:t>
      </w:r>
      <w:proofErr w:type="gramEnd"/>
      <w:r w:rsidR="000140E0">
        <w:rPr>
          <w:rFonts w:cs="Arial"/>
          <w:bCs/>
        </w:rPr>
        <w:t xml:space="preserve"> por ende, </w:t>
      </w:r>
      <w:r w:rsidR="00D95939">
        <w:rPr>
          <w:rFonts w:cs="Arial"/>
          <w:bCs/>
        </w:rPr>
        <w:t xml:space="preserve">inscrita </w:t>
      </w:r>
      <w:r w:rsidR="000140E0">
        <w:rPr>
          <w:rFonts w:cs="Arial"/>
          <w:bCs/>
        </w:rPr>
        <w:t>en el Registro Mercantil.</w:t>
      </w:r>
    </w:p>
    <w:p w14:paraId="300A8BB8" w14:textId="0F9A08F1" w:rsidR="003B133E" w:rsidRDefault="003B133E" w:rsidP="00815830">
      <w:pPr>
        <w:jc w:val="left"/>
        <w:rPr>
          <w:rFonts w:cs="Arial"/>
          <w:b/>
        </w:rPr>
      </w:pPr>
    </w:p>
    <w:p w14:paraId="696BB145" w14:textId="77777777" w:rsidR="00352ED5" w:rsidRPr="00A53BF6" w:rsidRDefault="00560402" w:rsidP="00815830">
      <w:pPr>
        <w:jc w:val="left"/>
        <w:rPr>
          <w:rFonts w:cs="Arial"/>
          <w:b/>
        </w:rPr>
      </w:pPr>
      <w:r w:rsidRPr="00A53BF6">
        <w:rPr>
          <w:rFonts w:cs="Arial"/>
          <w:b/>
        </w:rPr>
        <w:t>1</w:t>
      </w:r>
      <w:r w:rsidR="004B6895">
        <w:rPr>
          <w:rFonts w:cs="Arial"/>
          <w:b/>
        </w:rPr>
        <w:t>1</w:t>
      </w:r>
      <w:r w:rsidR="00815830" w:rsidRPr="00123264">
        <w:rPr>
          <w:rFonts w:cs="Arial"/>
          <w:b/>
        </w:rPr>
        <w:t>.2</w:t>
      </w:r>
      <w:r w:rsidR="00815830" w:rsidRPr="00123264">
        <w:rPr>
          <w:rFonts w:cs="Arial"/>
          <w:b/>
        </w:rPr>
        <w:tab/>
      </w:r>
      <w:r w:rsidR="00352ED5" w:rsidRPr="00123264">
        <w:rPr>
          <w:rFonts w:cs="Arial"/>
          <w:b/>
        </w:rPr>
        <w:t>Reservas</w:t>
      </w:r>
    </w:p>
    <w:p w14:paraId="637CA577" w14:textId="706BFA26" w:rsidR="00401028" w:rsidRDefault="00401028" w:rsidP="00401028">
      <w:pPr>
        <w:spacing w:before="240"/>
        <w:rPr>
          <w:rFonts w:cs="Arial"/>
        </w:rPr>
      </w:pPr>
      <w:r w:rsidRPr="00A53BF6">
        <w:rPr>
          <w:rFonts w:cs="Arial"/>
        </w:rPr>
        <w:t xml:space="preserve">El detalle </w:t>
      </w:r>
      <w:r w:rsidR="00B01CC5">
        <w:rPr>
          <w:rFonts w:cs="Arial"/>
        </w:rPr>
        <w:t>y lo</w:t>
      </w:r>
      <w:r w:rsidR="00F36AE2">
        <w:rPr>
          <w:rFonts w:cs="Arial"/>
        </w:rPr>
        <w:t>s</w:t>
      </w:r>
      <w:r w:rsidR="00B01CC5">
        <w:rPr>
          <w:rFonts w:cs="Arial"/>
        </w:rPr>
        <w:t xml:space="preserve"> movimientos </w:t>
      </w:r>
      <w:r w:rsidRPr="00A53BF6">
        <w:rPr>
          <w:rFonts w:cs="Arial"/>
        </w:rPr>
        <w:t>de las distintas partidas que componen las reservas son los siguientes:</w:t>
      </w:r>
    </w:p>
    <w:p w14:paraId="79687AF1" w14:textId="77777777" w:rsidR="003F6DF2" w:rsidRDefault="003F6DF2" w:rsidP="00401028">
      <w:pPr>
        <w:spacing w:before="240"/>
        <w:rPr>
          <w:rFonts w:cs="Arial"/>
        </w:rPr>
      </w:pPr>
    </w:p>
    <w:tbl>
      <w:tblPr>
        <w:tblW w:w="7359" w:type="dxa"/>
        <w:tblInd w:w="819" w:type="dxa"/>
        <w:tblLayout w:type="fixed"/>
        <w:tblCellMar>
          <w:left w:w="99" w:type="dxa"/>
          <w:right w:w="99" w:type="dxa"/>
        </w:tblCellMar>
        <w:tblLook w:val="0000" w:firstRow="0" w:lastRow="0" w:firstColumn="0" w:lastColumn="0" w:noHBand="0" w:noVBand="0"/>
      </w:tblPr>
      <w:tblGrid>
        <w:gridCol w:w="2115"/>
        <w:gridCol w:w="1276"/>
        <w:gridCol w:w="1418"/>
        <w:gridCol w:w="1275"/>
        <w:gridCol w:w="1275"/>
      </w:tblGrid>
      <w:tr w:rsidR="00143EFD" w:rsidRPr="00D661BA" w14:paraId="489C2ABA" w14:textId="77777777" w:rsidTr="00143EFD">
        <w:trPr>
          <w:cantSplit/>
          <w:trHeight w:val="75"/>
        </w:trPr>
        <w:tc>
          <w:tcPr>
            <w:tcW w:w="2115" w:type="dxa"/>
            <w:tcBorders>
              <w:top w:val="single" w:sz="4" w:space="0" w:color="auto"/>
              <w:bottom w:val="single" w:sz="4" w:space="0" w:color="auto"/>
            </w:tcBorders>
            <w:shd w:val="clear" w:color="auto" w:fill="D9D9D9"/>
            <w:vAlign w:val="bottom"/>
          </w:tcPr>
          <w:p w14:paraId="44DA164D" w14:textId="77777777" w:rsidR="00143EFD" w:rsidRPr="00D661BA" w:rsidRDefault="00143EFD" w:rsidP="00A003CF">
            <w:pPr>
              <w:tabs>
                <w:tab w:val="left" w:pos="142"/>
                <w:tab w:val="left" w:pos="284"/>
                <w:tab w:val="left" w:pos="426"/>
              </w:tabs>
              <w:rPr>
                <w:rFonts w:cs="Arial"/>
                <w:b/>
                <w:sz w:val="14"/>
                <w:szCs w:val="14"/>
              </w:rPr>
            </w:pPr>
            <w:r w:rsidRPr="00D661BA">
              <w:rPr>
                <w:rFonts w:cs="Arial"/>
                <w:b/>
                <w:sz w:val="14"/>
                <w:szCs w:val="14"/>
              </w:rPr>
              <w:t>(Euros)</w:t>
            </w:r>
          </w:p>
        </w:tc>
        <w:tc>
          <w:tcPr>
            <w:tcW w:w="1276" w:type="dxa"/>
            <w:tcBorders>
              <w:top w:val="single" w:sz="4" w:space="0" w:color="auto"/>
              <w:bottom w:val="single" w:sz="4" w:space="0" w:color="auto"/>
            </w:tcBorders>
            <w:shd w:val="clear" w:color="auto" w:fill="D9D9D9"/>
            <w:vAlign w:val="bottom"/>
          </w:tcPr>
          <w:p w14:paraId="7D965C30" w14:textId="77777777" w:rsidR="00143EFD" w:rsidRPr="00D661BA" w:rsidRDefault="00143EFD" w:rsidP="00A003CF">
            <w:pPr>
              <w:jc w:val="center"/>
              <w:rPr>
                <w:rFonts w:cs="Arial"/>
                <w:b/>
                <w:sz w:val="14"/>
                <w:szCs w:val="14"/>
              </w:rPr>
            </w:pPr>
            <w:r w:rsidRPr="00D661BA">
              <w:rPr>
                <w:rFonts w:cs="Arial"/>
                <w:b/>
                <w:sz w:val="14"/>
                <w:szCs w:val="14"/>
              </w:rPr>
              <w:t>Saldo inicial</w:t>
            </w:r>
          </w:p>
        </w:tc>
        <w:tc>
          <w:tcPr>
            <w:tcW w:w="1418" w:type="dxa"/>
            <w:tcBorders>
              <w:top w:val="single" w:sz="4" w:space="0" w:color="auto"/>
              <w:bottom w:val="single" w:sz="4" w:space="0" w:color="auto"/>
            </w:tcBorders>
            <w:shd w:val="clear" w:color="auto" w:fill="D9D9D9"/>
            <w:vAlign w:val="bottom"/>
          </w:tcPr>
          <w:p w14:paraId="0C5BA3F0" w14:textId="77777777" w:rsidR="00143EFD" w:rsidRPr="00D661BA" w:rsidRDefault="00143EFD" w:rsidP="00ED018C">
            <w:pPr>
              <w:jc w:val="center"/>
              <w:rPr>
                <w:rFonts w:cs="Arial"/>
                <w:b/>
                <w:sz w:val="14"/>
                <w:szCs w:val="14"/>
              </w:rPr>
            </w:pPr>
            <w:r w:rsidRPr="00D661BA">
              <w:rPr>
                <w:rFonts w:cs="Arial"/>
                <w:b/>
                <w:sz w:val="14"/>
                <w:szCs w:val="14"/>
              </w:rPr>
              <w:t>Distribución de resultados</w:t>
            </w:r>
          </w:p>
        </w:tc>
        <w:tc>
          <w:tcPr>
            <w:tcW w:w="1275" w:type="dxa"/>
            <w:tcBorders>
              <w:top w:val="single" w:sz="4" w:space="0" w:color="auto"/>
              <w:bottom w:val="single" w:sz="4" w:space="0" w:color="auto"/>
            </w:tcBorders>
            <w:shd w:val="clear" w:color="auto" w:fill="D9D9D9"/>
            <w:vAlign w:val="bottom"/>
          </w:tcPr>
          <w:p w14:paraId="32ACE376" w14:textId="77777777" w:rsidR="00143EFD" w:rsidRPr="00D661BA" w:rsidRDefault="00143EFD" w:rsidP="00143EFD">
            <w:pPr>
              <w:jc w:val="right"/>
              <w:rPr>
                <w:rFonts w:cs="Arial"/>
                <w:b/>
                <w:sz w:val="14"/>
                <w:szCs w:val="14"/>
              </w:rPr>
            </w:pPr>
            <w:r w:rsidRPr="00D661BA">
              <w:rPr>
                <w:rFonts w:cs="Arial"/>
                <w:b/>
                <w:sz w:val="14"/>
                <w:szCs w:val="14"/>
              </w:rPr>
              <w:t>Traspasos</w:t>
            </w:r>
          </w:p>
        </w:tc>
        <w:tc>
          <w:tcPr>
            <w:tcW w:w="1275" w:type="dxa"/>
            <w:tcBorders>
              <w:top w:val="single" w:sz="4" w:space="0" w:color="auto"/>
              <w:bottom w:val="single" w:sz="4" w:space="0" w:color="auto"/>
            </w:tcBorders>
            <w:shd w:val="clear" w:color="auto" w:fill="D9D9D9"/>
            <w:vAlign w:val="bottom"/>
          </w:tcPr>
          <w:p w14:paraId="2D9F0554" w14:textId="77777777" w:rsidR="00143EFD" w:rsidRPr="00D661BA" w:rsidRDefault="00143EFD" w:rsidP="00737390">
            <w:pPr>
              <w:jc w:val="right"/>
              <w:rPr>
                <w:rFonts w:cs="Arial"/>
                <w:b/>
                <w:sz w:val="14"/>
                <w:szCs w:val="14"/>
              </w:rPr>
            </w:pPr>
            <w:r w:rsidRPr="00D661BA">
              <w:rPr>
                <w:rFonts w:cs="Arial"/>
                <w:b/>
                <w:sz w:val="14"/>
                <w:szCs w:val="14"/>
              </w:rPr>
              <w:t>Saldo final</w:t>
            </w:r>
          </w:p>
        </w:tc>
      </w:tr>
      <w:tr w:rsidR="00143EFD" w:rsidRPr="00D661BA" w14:paraId="7DFBAB7C" w14:textId="77777777" w:rsidTr="00143EFD">
        <w:trPr>
          <w:cantSplit/>
          <w:trHeight w:val="150"/>
        </w:trPr>
        <w:tc>
          <w:tcPr>
            <w:tcW w:w="2115" w:type="dxa"/>
            <w:tcBorders>
              <w:top w:val="single" w:sz="4" w:space="0" w:color="auto"/>
            </w:tcBorders>
            <w:vAlign w:val="bottom"/>
          </w:tcPr>
          <w:p w14:paraId="2A1FF8CA" w14:textId="77777777" w:rsidR="00143EFD" w:rsidRPr="00D661BA" w:rsidRDefault="00143EFD" w:rsidP="00A003CF">
            <w:pPr>
              <w:tabs>
                <w:tab w:val="left" w:pos="142"/>
                <w:tab w:val="left" w:pos="284"/>
                <w:tab w:val="left" w:pos="426"/>
              </w:tabs>
              <w:rPr>
                <w:rFonts w:cs="Arial"/>
                <w:sz w:val="14"/>
                <w:szCs w:val="14"/>
              </w:rPr>
            </w:pPr>
          </w:p>
        </w:tc>
        <w:tc>
          <w:tcPr>
            <w:tcW w:w="1276" w:type="dxa"/>
            <w:tcBorders>
              <w:top w:val="single" w:sz="4" w:space="0" w:color="auto"/>
            </w:tcBorders>
            <w:vAlign w:val="bottom"/>
          </w:tcPr>
          <w:p w14:paraId="27982158" w14:textId="77777777" w:rsidR="00143EFD" w:rsidRPr="00D661BA" w:rsidRDefault="00143EFD" w:rsidP="00A003CF">
            <w:pPr>
              <w:jc w:val="right"/>
              <w:rPr>
                <w:rFonts w:cs="Arial"/>
                <w:sz w:val="14"/>
                <w:szCs w:val="14"/>
              </w:rPr>
            </w:pPr>
          </w:p>
        </w:tc>
        <w:tc>
          <w:tcPr>
            <w:tcW w:w="1418" w:type="dxa"/>
            <w:tcBorders>
              <w:top w:val="single" w:sz="4" w:space="0" w:color="auto"/>
            </w:tcBorders>
          </w:tcPr>
          <w:p w14:paraId="1243FD25" w14:textId="77777777" w:rsidR="00143EFD" w:rsidRPr="00D661BA" w:rsidRDefault="00143EFD" w:rsidP="00A003CF">
            <w:pPr>
              <w:ind w:left="227" w:right="227"/>
              <w:jc w:val="right"/>
              <w:rPr>
                <w:rFonts w:cs="Arial"/>
                <w:sz w:val="14"/>
                <w:szCs w:val="14"/>
              </w:rPr>
            </w:pPr>
          </w:p>
        </w:tc>
        <w:tc>
          <w:tcPr>
            <w:tcW w:w="1275" w:type="dxa"/>
            <w:tcBorders>
              <w:top w:val="single" w:sz="4" w:space="0" w:color="auto"/>
            </w:tcBorders>
          </w:tcPr>
          <w:p w14:paraId="5553358E" w14:textId="77777777" w:rsidR="00143EFD" w:rsidRPr="00D661BA" w:rsidRDefault="00143EFD" w:rsidP="00A003CF">
            <w:pPr>
              <w:jc w:val="right"/>
              <w:rPr>
                <w:rFonts w:cs="Arial"/>
                <w:sz w:val="14"/>
                <w:szCs w:val="14"/>
              </w:rPr>
            </w:pPr>
          </w:p>
        </w:tc>
        <w:tc>
          <w:tcPr>
            <w:tcW w:w="1275" w:type="dxa"/>
            <w:tcBorders>
              <w:top w:val="single" w:sz="4" w:space="0" w:color="auto"/>
            </w:tcBorders>
            <w:vAlign w:val="bottom"/>
          </w:tcPr>
          <w:p w14:paraId="743A5C81" w14:textId="77777777" w:rsidR="00143EFD" w:rsidRPr="00D661BA" w:rsidRDefault="00143EFD" w:rsidP="00A003CF">
            <w:pPr>
              <w:jc w:val="right"/>
              <w:rPr>
                <w:rFonts w:cs="Arial"/>
                <w:sz w:val="14"/>
                <w:szCs w:val="14"/>
              </w:rPr>
            </w:pPr>
          </w:p>
        </w:tc>
      </w:tr>
      <w:tr w:rsidR="00143EFD" w:rsidRPr="00D661BA" w14:paraId="1457747B" w14:textId="77777777" w:rsidTr="00143EFD">
        <w:trPr>
          <w:cantSplit/>
          <w:trHeight w:val="150"/>
        </w:trPr>
        <w:tc>
          <w:tcPr>
            <w:tcW w:w="2115" w:type="dxa"/>
            <w:vAlign w:val="bottom"/>
          </w:tcPr>
          <w:p w14:paraId="3AEEA02B" w14:textId="53D0BA8D" w:rsidR="00143EFD" w:rsidRPr="00D661BA" w:rsidRDefault="00143EFD" w:rsidP="00143EFD">
            <w:pPr>
              <w:tabs>
                <w:tab w:val="left" w:pos="142"/>
                <w:tab w:val="left" w:pos="284"/>
                <w:tab w:val="left" w:pos="426"/>
              </w:tabs>
              <w:rPr>
                <w:rFonts w:cs="Arial"/>
                <w:b/>
                <w:sz w:val="14"/>
                <w:szCs w:val="14"/>
              </w:rPr>
            </w:pPr>
            <w:r w:rsidRPr="00D661BA">
              <w:rPr>
                <w:rFonts w:cs="Arial"/>
                <w:b/>
                <w:sz w:val="14"/>
                <w:szCs w:val="14"/>
              </w:rPr>
              <w:t>Ejercicio 20</w:t>
            </w:r>
            <w:r w:rsidR="00F41A56">
              <w:rPr>
                <w:rFonts w:cs="Arial"/>
                <w:b/>
                <w:sz w:val="14"/>
                <w:szCs w:val="14"/>
              </w:rPr>
              <w:t>2</w:t>
            </w:r>
            <w:r w:rsidR="00772B6C">
              <w:rPr>
                <w:rFonts w:cs="Arial"/>
                <w:b/>
                <w:sz w:val="14"/>
                <w:szCs w:val="14"/>
              </w:rPr>
              <w:t>4</w:t>
            </w:r>
          </w:p>
        </w:tc>
        <w:tc>
          <w:tcPr>
            <w:tcW w:w="1276" w:type="dxa"/>
            <w:vAlign w:val="bottom"/>
          </w:tcPr>
          <w:p w14:paraId="6F836FA7" w14:textId="77777777" w:rsidR="00143EFD" w:rsidRPr="00D661BA" w:rsidRDefault="00143EFD" w:rsidP="00A003CF">
            <w:pPr>
              <w:jc w:val="right"/>
              <w:rPr>
                <w:rFonts w:cs="Arial"/>
                <w:sz w:val="14"/>
                <w:szCs w:val="14"/>
              </w:rPr>
            </w:pPr>
          </w:p>
        </w:tc>
        <w:tc>
          <w:tcPr>
            <w:tcW w:w="1418" w:type="dxa"/>
          </w:tcPr>
          <w:p w14:paraId="205F584D" w14:textId="77777777" w:rsidR="00143EFD" w:rsidRPr="00D661BA" w:rsidRDefault="00143EFD" w:rsidP="00A003CF">
            <w:pPr>
              <w:ind w:left="227" w:right="227"/>
              <w:jc w:val="right"/>
              <w:rPr>
                <w:rFonts w:cs="Arial"/>
                <w:sz w:val="14"/>
                <w:szCs w:val="14"/>
              </w:rPr>
            </w:pPr>
          </w:p>
        </w:tc>
        <w:tc>
          <w:tcPr>
            <w:tcW w:w="1275" w:type="dxa"/>
          </w:tcPr>
          <w:p w14:paraId="04CB348E" w14:textId="77777777" w:rsidR="00143EFD" w:rsidRPr="00D661BA" w:rsidRDefault="00143EFD" w:rsidP="00A003CF">
            <w:pPr>
              <w:jc w:val="right"/>
              <w:rPr>
                <w:rFonts w:cs="Arial"/>
                <w:sz w:val="14"/>
                <w:szCs w:val="14"/>
              </w:rPr>
            </w:pPr>
          </w:p>
        </w:tc>
        <w:tc>
          <w:tcPr>
            <w:tcW w:w="1275" w:type="dxa"/>
            <w:vAlign w:val="bottom"/>
          </w:tcPr>
          <w:p w14:paraId="02ABD001" w14:textId="77777777" w:rsidR="00143EFD" w:rsidRPr="00D661BA" w:rsidRDefault="00143EFD" w:rsidP="00A003CF">
            <w:pPr>
              <w:jc w:val="right"/>
              <w:rPr>
                <w:rFonts w:cs="Arial"/>
                <w:sz w:val="14"/>
                <w:szCs w:val="14"/>
              </w:rPr>
            </w:pPr>
          </w:p>
        </w:tc>
      </w:tr>
      <w:tr w:rsidR="00D661BA" w:rsidRPr="00D661BA" w14:paraId="3E0B8ADD" w14:textId="77777777" w:rsidTr="00143EFD">
        <w:trPr>
          <w:cantSplit/>
          <w:trHeight w:val="150"/>
        </w:trPr>
        <w:tc>
          <w:tcPr>
            <w:tcW w:w="2115" w:type="dxa"/>
            <w:vAlign w:val="bottom"/>
          </w:tcPr>
          <w:p w14:paraId="7A1C5C6A" w14:textId="77777777" w:rsidR="00D661BA" w:rsidRPr="00D661BA" w:rsidRDefault="00D661BA" w:rsidP="00D661BA">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2D123529" w14:textId="77777777" w:rsidR="00D661BA" w:rsidRPr="00D661BA" w:rsidRDefault="00D661BA" w:rsidP="00D661BA">
            <w:pPr>
              <w:jc w:val="right"/>
              <w:rPr>
                <w:rFonts w:cs="Arial"/>
                <w:sz w:val="14"/>
                <w:szCs w:val="14"/>
              </w:rPr>
            </w:pPr>
            <w:r w:rsidRPr="00D661BA">
              <w:rPr>
                <w:rFonts w:cs="Arial"/>
                <w:sz w:val="14"/>
                <w:szCs w:val="14"/>
              </w:rPr>
              <w:t>73.000,00</w:t>
            </w:r>
          </w:p>
        </w:tc>
        <w:tc>
          <w:tcPr>
            <w:tcW w:w="1418" w:type="dxa"/>
          </w:tcPr>
          <w:p w14:paraId="2E8E3A0A" w14:textId="77777777" w:rsidR="00D661BA" w:rsidRPr="00D661BA" w:rsidRDefault="00D661BA" w:rsidP="00D661BA">
            <w:pPr>
              <w:ind w:left="227"/>
              <w:jc w:val="right"/>
              <w:rPr>
                <w:rFonts w:cs="Arial"/>
                <w:sz w:val="14"/>
                <w:szCs w:val="14"/>
              </w:rPr>
            </w:pPr>
            <w:r w:rsidRPr="00D661BA">
              <w:rPr>
                <w:rFonts w:cs="Arial"/>
                <w:sz w:val="14"/>
                <w:szCs w:val="14"/>
              </w:rPr>
              <w:t>0,00</w:t>
            </w:r>
          </w:p>
        </w:tc>
        <w:tc>
          <w:tcPr>
            <w:tcW w:w="1275" w:type="dxa"/>
          </w:tcPr>
          <w:p w14:paraId="21556ACD" w14:textId="77777777" w:rsidR="00D661BA" w:rsidRPr="00D661BA" w:rsidRDefault="00D661BA" w:rsidP="00D661BA">
            <w:pPr>
              <w:jc w:val="right"/>
              <w:rPr>
                <w:rFonts w:cs="Arial"/>
                <w:sz w:val="14"/>
                <w:szCs w:val="14"/>
              </w:rPr>
            </w:pPr>
            <w:r w:rsidRPr="00D661BA">
              <w:rPr>
                <w:rFonts w:cs="Arial"/>
                <w:sz w:val="14"/>
                <w:szCs w:val="14"/>
              </w:rPr>
              <w:t>0,00</w:t>
            </w:r>
          </w:p>
        </w:tc>
        <w:tc>
          <w:tcPr>
            <w:tcW w:w="1275" w:type="dxa"/>
            <w:vAlign w:val="bottom"/>
          </w:tcPr>
          <w:p w14:paraId="64EEF3CA" w14:textId="77777777" w:rsidR="00D661BA" w:rsidRPr="00D661BA" w:rsidRDefault="00D661BA" w:rsidP="00D661BA">
            <w:pPr>
              <w:jc w:val="right"/>
              <w:rPr>
                <w:rFonts w:cs="Arial"/>
                <w:sz w:val="14"/>
                <w:szCs w:val="14"/>
              </w:rPr>
            </w:pPr>
            <w:r w:rsidRPr="00D661BA">
              <w:rPr>
                <w:rFonts w:cs="Arial"/>
                <w:sz w:val="14"/>
                <w:szCs w:val="14"/>
              </w:rPr>
              <w:t>73.000,00</w:t>
            </w:r>
          </w:p>
        </w:tc>
      </w:tr>
      <w:tr w:rsidR="00D661BA" w:rsidRPr="00D661BA" w14:paraId="0E84C93C" w14:textId="77777777" w:rsidTr="00143EFD">
        <w:trPr>
          <w:cantSplit/>
          <w:trHeight w:val="150"/>
        </w:trPr>
        <w:tc>
          <w:tcPr>
            <w:tcW w:w="2115" w:type="dxa"/>
            <w:tcBorders>
              <w:top w:val="single" w:sz="4" w:space="0" w:color="auto"/>
              <w:bottom w:val="single" w:sz="4" w:space="0" w:color="auto"/>
            </w:tcBorders>
            <w:shd w:val="clear" w:color="auto" w:fill="D9D9D9"/>
            <w:vAlign w:val="bottom"/>
          </w:tcPr>
          <w:p w14:paraId="5BDB0B23" w14:textId="77777777" w:rsidR="00D661BA" w:rsidRPr="00D661BA" w:rsidRDefault="00D661BA" w:rsidP="00D661BA">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7D472929" w14:textId="77777777" w:rsidR="00D661BA" w:rsidRPr="00D661BA" w:rsidRDefault="00D661BA" w:rsidP="00D661BA">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2E02F5DE" w14:textId="77777777" w:rsidR="00D661BA" w:rsidRPr="00D661BA" w:rsidRDefault="00D661BA" w:rsidP="00D661BA">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429F15BF" w14:textId="77777777" w:rsidR="00D661BA" w:rsidRPr="00D661BA" w:rsidRDefault="00D661BA" w:rsidP="00D661BA">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6C1220E4" w14:textId="77777777" w:rsidR="00D661BA" w:rsidRPr="00D661BA" w:rsidRDefault="00D661BA" w:rsidP="00D661BA">
            <w:pPr>
              <w:jc w:val="right"/>
              <w:rPr>
                <w:rFonts w:cs="Arial"/>
                <w:b/>
                <w:sz w:val="14"/>
                <w:szCs w:val="14"/>
              </w:rPr>
            </w:pPr>
            <w:r w:rsidRPr="00D661BA">
              <w:rPr>
                <w:rFonts w:cs="Arial"/>
                <w:b/>
                <w:sz w:val="14"/>
                <w:szCs w:val="14"/>
              </w:rPr>
              <w:t>73.000,00</w:t>
            </w:r>
          </w:p>
        </w:tc>
      </w:tr>
      <w:tr w:rsidR="00143EFD" w:rsidRPr="00D661BA" w14:paraId="155D9B4E" w14:textId="77777777" w:rsidTr="00143EFD">
        <w:trPr>
          <w:cantSplit/>
          <w:trHeight w:val="150"/>
        </w:trPr>
        <w:tc>
          <w:tcPr>
            <w:tcW w:w="2115" w:type="dxa"/>
            <w:tcBorders>
              <w:top w:val="single" w:sz="4" w:space="0" w:color="auto"/>
            </w:tcBorders>
            <w:vAlign w:val="bottom"/>
          </w:tcPr>
          <w:p w14:paraId="1728C6C2" w14:textId="77777777" w:rsidR="00143EFD" w:rsidRPr="00D661BA" w:rsidRDefault="00143EFD" w:rsidP="00A003CF">
            <w:pPr>
              <w:tabs>
                <w:tab w:val="left" w:pos="142"/>
                <w:tab w:val="left" w:pos="284"/>
                <w:tab w:val="left" w:pos="426"/>
              </w:tabs>
              <w:rPr>
                <w:rFonts w:cs="Arial"/>
                <w:b/>
                <w:sz w:val="14"/>
                <w:szCs w:val="14"/>
              </w:rPr>
            </w:pPr>
          </w:p>
        </w:tc>
        <w:tc>
          <w:tcPr>
            <w:tcW w:w="1276" w:type="dxa"/>
            <w:tcBorders>
              <w:top w:val="single" w:sz="4" w:space="0" w:color="auto"/>
            </w:tcBorders>
            <w:vAlign w:val="bottom"/>
          </w:tcPr>
          <w:p w14:paraId="125DD0A7" w14:textId="77777777" w:rsidR="00143EFD" w:rsidRPr="00D661BA" w:rsidRDefault="00143EFD" w:rsidP="00057618">
            <w:pPr>
              <w:jc w:val="right"/>
              <w:rPr>
                <w:rFonts w:cs="Arial"/>
                <w:sz w:val="14"/>
                <w:szCs w:val="14"/>
              </w:rPr>
            </w:pPr>
          </w:p>
        </w:tc>
        <w:tc>
          <w:tcPr>
            <w:tcW w:w="1418" w:type="dxa"/>
            <w:tcBorders>
              <w:top w:val="single" w:sz="4" w:space="0" w:color="auto"/>
            </w:tcBorders>
          </w:tcPr>
          <w:p w14:paraId="341A57C8" w14:textId="77777777" w:rsidR="00143EFD" w:rsidRPr="00D661BA" w:rsidRDefault="00143EFD" w:rsidP="00057618">
            <w:pPr>
              <w:ind w:left="227"/>
              <w:jc w:val="right"/>
              <w:rPr>
                <w:rFonts w:cs="Arial"/>
                <w:sz w:val="14"/>
                <w:szCs w:val="14"/>
              </w:rPr>
            </w:pPr>
          </w:p>
        </w:tc>
        <w:tc>
          <w:tcPr>
            <w:tcW w:w="1275" w:type="dxa"/>
            <w:tcBorders>
              <w:top w:val="single" w:sz="4" w:space="0" w:color="auto"/>
            </w:tcBorders>
          </w:tcPr>
          <w:p w14:paraId="71A66793" w14:textId="77777777" w:rsidR="00143EFD" w:rsidRPr="00D661BA" w:rsidRDefault="00143EFD" w:rsidP="00057618">
            <w:pPr>
              <w:jc w:val="right"/>
              <w:rPr>
                <w:rFonts w:cs="Arial"/>
                <w:sz w:val="14"/>
                <w:szCs w:val="14"/>
              </w:rPr>
            </w:pPr>
          </w:p>
        </w:tc>
        <w:tc>
          <w:tcPr>
            <w:tcW w:w="1275" w:type="dxa"/>
            <w:tcBorders>
              <w:top w:val="single" w:sz="4" w:space="0" w:color="auto"/>
            </w:tcBorders>
            <w:vAlign w:val="bottom"/>
          </w:tcPr>
          <w:p w14:paraId="17E05D07" w14:textId="77777777" w:rsidR="00143EFD" w:rsidRPr="00D661BA" w:rsidRDefault="00143EFD" w:rsidP="00057618">
            <w:pPr>
              <w:jc w:val="right"/>
              <w:rPr>
                <w:rFonts w:cs="Arial"/>
                <w:sz w:val="14"/>
                <w:szCs w:val="14"/>
              </w:rPr>
            </w:pPr>
          </w:p>
        </w:tc>
      </w:tr>
      <w:tr w:rsidR="007002E5" w:rsidRPr="00D661BA" w14:paraId="3CA99F6C" w14:textId="77777777" w:rsidTr="00143EFD">
        <w:trPr>
          <w:cantSplit/>
          <w:trHeight w:val="150"/>
        </w:trPr>
        <w:tc>
          <w:tcPr>
            <w:tcW w:w="2115" w:type="dxa"/>
            <w:vAlign w:val="bottom"/>
          </w:tcPr>
          <w:p w14:paraId="431BB6EF" w14:textId="2EC69D08" w:rsidR="007002E5" w:rsidRPr="00D661BA" w:rsidRDefault="007002E5" w:rsidP="007002E5">
            <w:pPr>
              <w:tabs>
                <w:tab w:val="left" w:pos="142"/>
                <w:tab w:val="left" w:pos="284"/>
                <w:tab w:val="left" w:pos="426"/>
              </w:tabs>
              <w:rPr>
                <w:rFonts w:cs="Arial"/>
                <w:b/>
                <w:sz w:val="14"/>
                <w:szCs w:val="14"/>
              </w:rPr>
            </w:pPr>
            <w:r w:rsidRPr="00D661BA">
              <w:rPr>
                <w:rFonts w:cs="Arial"/>
                <w:b/>
                <w:sz w:val="14"/>
                <w:szCs w:val="14"/>
              </w:rPr>
              <w:t>Ejercicio 20</w:t>
            </w:r>
            <w:r w:rsidR="00D23BA1">
              <w:rPr>
                <w:rFonts w:cs="Arial"/>
                <w:b/>
                <w:sz w:val="14"/>
                <w:szCs w:val="14"/>
              </w:rPr>
              <w:t>2</w:t>
            </w:r>
            <w:r w:rsidR="00772B6C">
              <w:rPr>
                <w:rFonts w:cs="Arial"/>
                <w:b/>
                <w:sz w:val="14"/>
                <w:szCs w:val="14"/>
              </w:rPr>
              <w:t>3</w:t>
            </w:r>
          </w:p>
        </w:tc>
        <w:tc>
          <w:tcPr>
            <w:tcW w:w="1276" w:type="dxa"/>
            <w:vAlign w:val="bottom"/>
          </w:tcPr>
          <w:p w14:paraId="1945C020" w14:textId="77777777" w:rsidR="007002E5" w:rsidRPr="00D661BA" w:rsidRDefault="007002E5" w:rsidP="007002E5">
            <w:pPr>
              <w:jc w:val="right"/>
              <w:rPr>
                <w:rFonts w:cs="Arial"/>
                <w:sz w:val="14"/>
                <w:szCs w:val="14"/>
              </w:rPr>
            </w:pPr>
          </w:p>
        </w:tc>
        <w:tc>
          <w:tcPr>
            <w:tcW w:w="1418" w:type="dxa"/>
          </w:tcPr>
          <w:p w14:paraId="23E8422D" w14:textId="77777777" w:rsidR="007002E5" w:rsidRPr="00D661BA" w:rsidRDefault="007002E5" w:rsidP="007002E5">
            <w:pPr>
              <w:ind w:left="227" w:right="227"/>
              <w:jc w:val="right"/>
              <w:rPr>
                <w:rFonts w:cs="Arial"/>
                <w:sz w:val="14"/>
                <w:szCs w:val="14"/>
              </w:rPr>
            </w:pPr>
          </w:p>
        </w:tc>
        <w:tc>
          <w:tcPr>
            <w:tcW w:w="1275" w:type="dxa"/>
          </w:tcPr>
          <w:p w14:paraId="203F74D1" w14:textId="77777777" w:rsidR="007002E5" w:rsidRPr="00D661BA" w:rsidRDefault="007002E5" w:rsidP="007002E5">
            <w:pPr>
              <w:jc w:val="right"/>
              <w:rPr>
                <w:rFonts w:cs="Arial"/>
                <w:sz w:val="14"/>
                <w:szCs w:val="14"/>
              </w:rPr>
            </w:pPr>
          </w:p>
        </w:tc>
        <w:tc>
          <w:tcPr>
            <w:tcW w:w="1275" w:type="dxa"/>
            <w:vAlign w:val="bottom"/>
          </w:tcPr>
          <w:p w14:paraId="3D713FCE" w14:textId="77777777" w:rsidR="007002E5" w:rsidRPr="00D661BA" w:rsidRDefault="007002E5" w:rsidP="007002E5">
            <w:pPr>
              <w:jc w:val="right"/>
              <w:rPr>
                <w:rFonts w:cs="Arial"/>
                <w:sz w:val="14"/>
                <w:szCs w:val="14"/>
              </w:rPr>
            </w:pPr>
          </w:p>
        </w:tc>
      </w:tr>
      <w:tr w:rsidR="007002E5" w:rsidRPr="00D661BA" w14:paraId="2DCE53DD" w14:textId="77777777" w:rsidTr="00143EFD">
        <w:trPr>
          <w:cantSplit/>
          <w:trHeight w:val="161"/>
        </w:trPr>
        <w:tc>
          <w:tcPr>
            <w:tcW w:w="2115" w:type="dxa"/>
            <w:vAlign w:val="bottom"/>
          </w:tcPr>
          <w:p w14:paraId="5255C70D" w14:textId="77777777" w:rsidR="007002E5" w:rsidRPr="00D661BA" w:rsidRDefault="007002E5" w:rsidP="007002E5">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3FC22F3D" w14:textId="77777777" w:rsidR="007002E5" w:rsidRPr="00D661BA" w:rsidRDefault="007002E5" w:rsidP="007002E5">
            <w:pPr>
              <w:jc w:val="right"/>
              <w:rPr>
                <w:rFonts w:cs="Arial"/>
                <w:sz w:val="14"/>
                <w:szCs w:val="14"/>
              </w:rPr>
            </w:pPr>
            <w:r w:rsidRPr="00D661BA">
              <w:rPr>
                <w:rFonts w:cs="Arial"/>
                <w:sz w:val="14"/>
                <w:szCs w:val="14"/>
              </w:rPr>
              <w:t>73.000,00</w:t>
            </w:r>
          </w:p>
        </w:tc>
        <w:tc>
          <w:tcPr>
            <w:tcW w:w="1418" w:type="dxa"/>
          </w:tcPr>
          <w:p w14:paraId="179B181F" w14:textId="77777777" w:rsidR="007002E5" w:rsidRPr="00D661BA" w:rsidRDefault="007002E5" w:rsidP="007002E5">
            <w:pPr>
              <w:ind w:left="227"/>
              <w:jc w:val="right"/>
              <w:rPr>
                <w:rFonts w:cs="Arial"/>
                <w:sz w:val="14"/>
                <w:szCs w:val="14"/>
              </w:rPr>
            </w:pPr>
            <w:r w:rsidRPr="00D661BA">
              <w:rPr>
                <w:rFonts w:cs="Arial"/>
                <w:sz w:val="14"/>
                <w:szCs w:val="14"/>
              </w:rPr>
              <w:t>0,00</w:t>
            </w:r>
          </w:p>
        </w:tc>
        <w:tc>
          <w:tcPr>
            <w:tcW w:w="1275" w:type="dxa"/>
          </w:tcPr>
          <w:p w14:paraId="33F91263" w14:textId="77777777" w:rsidR="007002E5" w:rsidRPr="00D661BA" w:rsidRDefault="00D661BA" w:rsidP="007002E5">
            <w:pPr>
              <w:jc w:val="right"/>
              <w:rPr>
                <w:rFonts w:cs="Arial"/>
                <w:sz w:val="14"/>
                <w:szCs w:val="14"/>
              </w:rPr>
            </w:pPr>
            <w:r w:rsidRPr="00D661BA">
              <w:rPr>
                <w:rFonts w:cs="Arial"/>
                <w:sz w:val="14"/>
                <w:szCs w:val="14"/>
              </w:rPr>
              <w:t>0,00</w:t>
            </w:r>
          </w:p>
        </w:tc>
        <w:tc>
          <w:tcPr>
            <w:tcW w:w="1275" w:type="dxa"/>
            <w:vAlign w:val="bottom"/>
          </w:tcPr>
          <w:p w14:paraId="7543317C" w14:textId="77777777" w:rsidR="007002E5" w:rsidRPr="00D661BA" w:rsidRDefault="00D661BA" w:rsidP="007002E5">
            <w:pPr>
              <w:jc w:val="right"/>
              <w:rPr>
                <w:rFonts w:cs="Arial"/>
                <w:sz w:val="14"/>
                <w:szCs w:val="14"/>
              </w:rPr>
            </w:pPr>
            <w:r w:rsidRPr="00D661BA">
              <w:rPr>
                <w:rFonts w:cs="Arial"/>
                <w:sz w:val="14"/>
                <w:szCs w:val="14"/>
              </w:rPr>
              <w:t>73.000,00</w:t>
            </w:r>
          </w:p>
        </w:tc>
      </w:tr>
      <w:tr w:rsidR="007002E5" w:rsidRPr="00A53BF6" w14:paraId="58E4C5BF" w14:textId="77777777" w:rsidTr="00143EFD">
        <w:trPr>
          <w:cantSplit/>
          <w:trHeight w:val="158"/>
        </w:trPr>
        <w:tc>
          <w:tcPr>
            <w:tcW w:w="2115" w:type="dxa"/>
            <w:tcBorders>
              <w:top w:val="single" w:sz="4" w:space="0" w:color="auto"/>
              <w:bottom w:val="single" w:sz="4" w:space="0" w:color="auto"/>
            </w:tcBorders>
            <w:shd w:val="clear" w:color="auto" w:fill="D9D9D9"/>
            <w:vAlign w:val="bottom"/>
          </w:tcPr>
          <w:p w14:paraId="5F741BD3" w14:textId="77777777" w:rsidR="007002E5" w:rsidRPr="00D661BA" w:rsidRDefault="007002E5" w:rsidP="007002E5">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045C65FE" w14:textId="77777777" w:rsidR="007002E5" w:rsidRPr="00D661BA" w:rsidRDefault="00D661BA" w:rsidP="007002E5">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67C169CF" w14:textId="77777777" w:rsidR="007002E5" w:rsidRPr="00D661BA" w:rsidRDefault="00D661BA" w:rsidP="007002E5">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02050E4F" w14:textId="77777777" w:rsidR="007002E5" w:rsidRPr="00D661BA" w:rsidRDefault="007002E5" w:rsidP="007002E5">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17029397" w14:textId="77777777" w:rsidR="007002E5" w:rsidRPr="00A53BF6" w:rsidRDefault="00D661BA" w:rsidP="007002E5">
            <w:pPr>
              <w:jc w:val="right"/>
              <w:rPr>
                <w:rFonts w:cs="Arial"/>
                <w:b/>
                <w:sz w:val="14"/>
                <w:szCs w:val="14"/>
              </w:rPr>
            </w:pPr>
            <w:r w:rsidRPr="00D661BA">
              <w:rPr>
                <w:rFonts w:cs="Arial"/>
                <w:b/>
                <w:sz w:val="14"/>
                <w:szCs w:val="14"/>
              </w:rPr>
              <w:t>73.000,00</w:t>
            </w:r>
          </w:p>
        </w:tc>
      </w:tr>
    </w:tbl>
    <w:p w14:paraId="5B832293" w14:textId="717984E5" w:rsidR="000F23F6" w:rsidRPr="008B38E3" w:rsidRDefault="00947645" w:rsidP="00352ED5">
      <w:pPr>
        <w:spacing w:before="240"/>
        <w:rPr>
          <w:rFonts w:cs="Arial"/>
          <w:i/>
          <w:u w:val="single"/>
        </w:rPr>
      </w:pPr>
      <w:r w:rsidRPr="00123264">
        <w:rPr>
          <w:rFonts w:cs="Arial"/>
          <w:i/>
          <w:u w:val="single"/>
        </w:rPr>
        <w:t>Reserva legal</w:t>
      </w:r>
    </w:p>
    <w:p w14:paraId="50D25AB6" w14:textId="3D908F50" w:rsidR="000F23F6" w:rsidRDefault="00352ED5" w:rsidP="000F23F6">
      <w:pPr>
        <w:spacing w:before="240"/>
        <w:rPr>
          <w:rFonts w:cs="Arial"/>
        </w:rPr>
      </w:pPr>
      <w:r w:rsidRPr="008B38E3">
        <w:rPr>
          <w:rFonts w:cs="Arial"/>
        </w:rPr>
        <w:t xml:space="preserve">De acuerdo con </w:t>
      </w:r>
      <w:r w:rsidR="00B01CC5">
        <w:rPr>
          <w:rFonts w:cs="Arial"/>
        </w:rPr>
        <w:t xml:space="preserve">el texto refundido de </w:t>
      </w:r>
      <w:r w:rsidRPr="008B38E3">
        <w:rPr>
          <w:rFonts w:cs="Arial"/>
        </w:rPr>
        <w:t xml:space="preserve">la Ley de Sociedades </w:t>
      </w:r>
      <w:r w:rsidR="00270CE6" w:rsidRPr="008B38E3">
        <w:rPr>
          <w:rFonts w:cs="Arial"/>
        </w:rPr>
        <w:t>de Capital</w:t>
      </w:r>
      <w:r w:rsidRPr="008B38E3">
        <w:rPr>
          <w:rFonts w:cs="Arial"/>
        </w:rPr>
        <w:t>, la reserva legal, mientras no supere el límite del 20% del capital social, no es distribuible a los accionistas y sólo podrá destinarse, en el caso de no tener otras reservas disponibles, a la compensación de pérdidas. Esta reserva podrá utilizarse igualmente para aumentar el capital social en la parte que exceda del 10% del capital ya aumentado.</w:t>
      </w:r>
    </w:p>
    <w:p w14:paraId="556990A2" w14:textId="77777777" w:rsidR="000325A9" w:rsidRPr="00293033" w:rsidRDefault="000325A9" w:rsidP="000F23F6">
      <w:pPr>
        <w:spacing w:before="240"/>
        <w:rPr>
          <w:rFonts w:cs="Arial"/>
          <w:b/>
        </w:rPr>
      </w:pPr>
      <w:r w:rsidRPr="00B33FF1">
        <w:rPr>
          <w:rFonts w:cs="Arial"/>
          <w:b/>
        </w:rPr>
        <w:t>1</w:t>
      </w:r>
      <w:r w:rsidR="004B6895" w:rsidRPr="0053021F">
        <w:rPr>
          <w:rFonts w:cs="Arial"/>
          <w:b/>
        </w:rPr>
        <w:t>1</w:t>
      </w:r>
      <w:r w:rsidRPr="0053021F">
        <w:rPr>
          <w:rFonts w:cs="Arial"/>
          <w:b/>
        </w:rPr>
        <w:t>.3</w:t>
      </w:r>
      <w:r w:rsidRPr="0053021F">
        <w:rPr>
          <w:rFonts w:cs="Arial"/>
          <w:b/>
        </w:rPr>
        <w:tab/>
        <w:t>Otras aportaciones de socios</w:t>
      </w:r>
    </w:p>
    <w:p w14:paraId="42E1D579" w14:textId="6BF02877" w:rsidR="001E7ADC" w:rsidRPr="001E7ADC" w:rsidRDefault="001E7ADC" w:rsidP="001E7ADC">
      <w:pPr>
        <w:spacing w:before="240"/>
        <w:rPr>
          <w:rFonts w:cs="Arial"/>
        </w:rPr>
      </w:pPr>
      <w:bookmarkStart w:id="37" w:name="_Hlk160524419"/>
      <w:bookmarkStart w:id="38" w:name="_Hlk127443484"/>
      <w:bookmarkStart w:id="39" w:name="_Hlk127443455"/>
      <w:r w:rsidRPr="001E7ADC">
        <w:rPr>
          <w:rFonts w:cs="Arial"/>
        </w:rPr>
        <w:t>Con fecha 2</w:t>
      </w:r>
      <w:r w:rsidR="00561A24" w:rsidRPr="00561A24">
        <w:rPr>
          <w:rFonts w:cs="Arial"/>
        </w:rPr>
        <w:t>0</w:t>
      </w:r>
      <w:r w:rsidRPr="001E7ADC">
        <w:rPr>
          <w:rFonts w:cs="Arial"/>
        </w:rPr>
        <w:t xml:space="preserve"> de febrero de 202</w:t>
      </w:r>
      <w:r w:rsidRPr="00561A24">
        <w:rPr>
          <w:rFonts w:cs="Arial"/>
        </w:rPr>
        <w:t>4</w:t>
      </w:r>
      <w:r w:rsidRPr="001E7ADC">
        <w:rPr>
          <w:rFonts w:cs="Arial"/>
        </w:rPr>
        <w:t xml:space="preserve"> la Consejería de Agricultura, Ganadería, Pesca y Soberanía Alimentaria del Gobierno de Canarias concedió a la Sociedad una transferencia nominada para la actividad que constituye el objeto social y los gastos de funcionamiento y gestión corrientes de 202</w:t>
      </w:r>
      <w:r>
        <w:rPr>
          <w:rFonts w:cs="Arial"/>
        </w:rPr>
        <w:t>4</w:t>
      </w:r>
      <w:r w:rsidRPr="001E7ADC">
        <w:rPr>
          <w:rFonts w:cs="Arial"/>
        </w:rPr>
        <w:t xml:space="preserve"> por importe de 3.854.672,00 euros.</w:t>
      </w:r>
    </w:p>
    <w:p w14:paraId="694425BF" w14:textId="2C6AEDDC" w:rsidR="00855639" w:rsidRPr="001757BD" w:rsidRDefault="00855639" w:rsidP="00855639">
      <w:pPr>
        <w:spacing w:before="240"/>
        <w:rPr>
          <w:rFonts w:cs="Arial"/>
        </w:rPr>
      </w:pPr>
      <w:r w:rsidRPr="00C75874">
        <w:rPr>
          <w:rFonts w:cs="Arial"/>
        </w:rPr>
        <w:t xml:space="preserve">Con fecha </w:t>
      </w:r>
      <w:r w:rsidR="00C75874" w:rsidRPr="00C75874">
        <w:rPr>
          <w:rFonts w:cs="Arial"/>
        </w:rPr>
        <w:t>3</w:t>
      </w:r>
      <w:r w:rsidRPr="00C75874">
        <w:rPr>
          <w:rFonts w:cs="Arial"/>
        </w:rPr>
        <w:t xml:space="preserve"> de </w:t>
      </w:r>
      <w:r w:rsidR="00C75874" w:rsidRPr="00C75874">
        <w:rPr>
          <w:rFonts w:cs="Arial"/>
        </w:rPr>
        <w:t>marz</w:t>
      </w:r>
      <w:r w:rsidRPr="00C75874">
        <w:rPr>
          <w:rFonts w:cs="Arial"/>
        </w:rPr>
        <w:t>o de 202</w:t>
      </w:r>
      <w:r w:rsidR="00C75874" w:rsidRPr="00C75874">
        <w:rPr>
          <w:rFonts w:cs="Arial"/>
        </w:rPr>
        <w:t>3</w:t>
      </w:r>
      <w:r w:rsidRPr="00C75874">
        <w:rPr>
          <w:rFonts w:cs="Arial"/>
        </w:rPr>
        <w:t xml:space="preserve"> la Consejería de Agricultura, Ganadería</w:t>
      </w:r>
      <w:r w:rsidR="001757BD" w:rsidRPr="00C75874">
        <w:rPr>
          <w:rFonts w:cs="Arial"/>
        </w:rPr>
        <w:t>,</w:t>
      </w:r>
      <w:r w:rsidRPr="00C75874">
        <w:rPr>
          <w:rFonts w:cs="Arial"/>
        </w:rPr>
        <w:t xml:space="preserve"> Pesca </w:t>
      </w:r>
      <w:r w:rsidR="001757BD" w:rsidRPr="00C75874">
        <w:rPr>
          <w:rFonts w:cs="Arial"/>
        </w:rPr>
        <w:t xml:space="preserve">y Soberanía Alimentaria </w:t>
      </w:r>
      <w:r w:rsidRPr="00C75874">
        <w:rPr>
          <w:rFonts w:cs="Arial"/>
        </w:rPr>
        <w:t xml:space="preserve">del Gobierno de Canarias concedió a la Sociedad una transferencia nominada para la actividad que </w:t>
      </w:r>
      <w:r w:rsidRPr="00C75874">
        <w:rPr>
          <w:rFonts w:cs="Arial"/>
        </w:rPr>
        <w:lastRenderedPageBreak/>
        <w:t>constituye el objeto social y los gastos de funcionamiento y gestión corrientes de 202</w:t>
      </w:r>
      <w:r w:rsidR="001757BD" w:rsidRPr="00C75874">
        <w:rPr>
          <w:rFonts w:cs="Arial"/>
        </w:rPr>
        <w:t>3</w:t>
      </w:r>
      <w:r w:rsidRPr="00C75874">
        <w:rPr>
          <w:rFonts w:cs="Arial"/>
        </w:rPr>
        <w:t xml:space="preserve"> por importe de </w:t>
      </w:r>
      <w:r w:rsidR="001757BD" w:rsidRPr="00C75874">
        <w:rPr>
          <w:rFonts w:cs="Arial"/>
        </w:rPr>
        <w:t>4</w:t>
      </w:r>
      <w:r w:rsidRPr="00C75874">
        <w:rPr>
          <w:rFonts w:cs="Arial"/>
        </w:rPr>
        <w:t>.</w:t>
      </w:r>
      <w:r w:rsidR="001757BD" w:rsidRPr="00C75874">
        <w:rPr>
          <w:rFonts w:cs="Arial"/>
        </w:rPr>
        <w:t>2</w:t>
      </w:r>
      <w:r w:rsidRPr="00C75874">
        <w:rPr>
          <w:rFonts w:cs="Arial"/>
        </w:rPr>
        <w:t>54.672,00 euros</w:t>
      </w:r>
      <w:r w:rsidRPr="001757BD">
        <w:rPr>
          <w:rFonts w:cs="Arial"/>
        </w:rPr>
        <w:t>.</w:t>
      </w:r>
    </w:p>
    <w:p w14:paraId="35100D87" w14:textId="7AC8A583" w:rsidR="001757BD" w:rsidRDefault="001757BD" w:rsidP="001757BD">
      <w:pPr>
        <w:spacing w:before="240"/>
        <w:rPr>
          <w:rFonts w:cs="Arial"/>
        </w:rPr>
      </w:pPr>
      <w:r w:rsidRPr="001757BD">
        <w:rPr>
          <w:rFonts w:cs="Arial"/>
        </w:rPr>
        <w:t>Con fecha 14 de diciembre de 2023 la Consejería de Agricultura, Ganadería, Pesca y Soberanía Alimentaria del Gobierno de Canarias concedió a la Sociedad una transferencia nominada para la actividad que constituye el objeto social y los gastos de funcionamiento y gestión corrientes de 2023 por importe de 1.841.159,15 euros.</w:t>
      </w:r>
    </w:p>
    <w:bookmarkEnd w:id="37"/>
    <w:bookmarkEnd w:id="38"/>
    <w:bookmarkEnd w:id="39"/>
    <w:p w14:paraId="4B2289F2" w14:textId="60ED3449" w:rsidR="003B133E" w:rsidRDefault="0019124B" w:rsidP="00B01CC5">
      <w:pPr>
        <w:spacing w:before="240"/>
        <w:rPr>
          <w:rFonts w:cs="Arial"/>
        </w:rPr>
      </w:pPr>
      <w:r>
        <w:rPr>
          <w:rFonts w:cs="Arial"/>
        </w:rPr>
        <w:t>El detalle de las transferencias recibidas es el siguiente:</w:t>
      </w:r>
    </w:p>
    <w:p w14:paraId="0A7F9D9F" w14:textId="77777777" w:rsidR="003E640A" w:rsidRDefault="003E640A" w:rsidP="00B01CC5">
      <w:pPr>
        <w:spacing w:before="240"/>
        <w:rPr>
          <w:rFonts w:cs="Arial"/>
        </w:rPr>
      </w:pPr>
    </w:p>
    <w:tbl>
      <w:tblPr>
        <w:tblW w:w="8647" w:type="dxa"/>
        <w:tblInd w:w="99" w:type="dxa"/>
        <w:tblLayout w:type="fixed"/>
        <w:tblCellMar>
          <w:left w:w="99" w:type="dxa"/>
          <w:right w:w="99" w:type="dxa"/>
        </w:tblCellMar>
        <w:tblLook w:val="0000" w:firstRow="0" w:lastRow="0" w:firstColumn="0" w:lastColumn="0" w:noHBand="0" w:noVBand="0"/>
      </w:tblPr>
      <w:tblGrid>
        <w:gridCol w:w="6096"/>
        <w:gridCol w:w="1275"/>
        <w:gridCol w:w="1276"/>
      </w:tblGrid>
      <w:tr w:rsidR="00F101DF" w:rsidRPr="00EE3B05" w14:paraId="1E902E23" w14:textId="77777777" w:rsidTr="00F101DF">
        <w:trPr>
          <w:cantSplit/>
        </w:trPr>
        <w:tc>
          <w:tcPr>
            <w:tcW w:w="6096" w:type="dxa"/>
            <w:tcBorders>
              <w:top w:val="single" w:sz="4" w:space="0" w:color="auto"/>
              <w:bottom w:val="single" w:sz="4" w:space="0" w:color="auto"/>
            </w:tcBorders>
            <w:shd w:val="clear" w:color="auto" w:fill="BFBFBF"/>
            <w:vAlign w:val="bottom"/>
          </w:tcPr>
          <w:p w14:paraId="14B789A0" w14:textId="73192055" w:rsidR="00F101DF" w:rsidRPr="00EE3B05" w:rsidRDefault="00F101DF" w:rsidP="00F101DF">
            <w:pPr>
              <w:rPr>
                <w:rFonts w:cs="Arial"/>
                <w:b/>
                <w:sz w:val="16"/>
                <w:szCs w:val="16"/>
              </w:rPr>
            </w:pPr>
            <w:r w:rsidRPr="00EE3B05">
              <w:rPr>
                <w:rFonts w:cs="Arial"/>
                <w:b/>
                <w:sz w:val="16"/>
                <w:szCs w:val="16"/>
              </w:rPr>
              <w:t>(Eur</w:t>
            </w:r>
            <w:r w:rsidR="00870C26">
              <w:rPr>
                <w:rFonts w:cs="Arial"/>
                <w:b/>
                <w:sz w:val="16"/>
                <w:szCs w:val="16"/>
              </w:rPr>
              <w:t>o</w:t>
            </w:r>
            <w:r w:rsidRPr="00EE3B05">
              <w:rPr>
                <w:rFonts w:cs="Arial"/>
                <w:b/>
                <w:sz w:val="16"/>
                <w:szCs w:val="16"/>
              </w:rPr>
              <w:t>s)</w:t>
            </w:r>
          </w:p>
        </w:tc>
        <w:tc>
          <w:tcPr>
            <w:tcW w:w="1275" w:type="dxa"/>
            <w:tcBorders>
              <w:top w:val="single" w:sz="4" w:space="0" w:color="auto"/>
              <w:bottom w:val="single" w:sz="4" w:space="0" w:color="auto"/>
            </w:tcBorders>
            <w:shd w:val="clear" w:color="auto" w:fill="BFBFBF"/>
            <w:vAlign w:val="bottom"/>
          </w:tcPr>
          <w:p w14:paraId="602777D8" w14:textId="0A047106" w:rsidR="00F101DF" w:rsidRPr="00EE3B05" w:rsidRDefault="00F101DF" w:rsidP="00F101DF">
            <w:pPr>
              <w:jc w:val="center"/>
              <w:rPr>
                <w:rFonts w:cs="Arial"/>
                <w:b/>
                <w:sz w:val="16"/>
                <w:szCs w:val="16"/>
              </w:rPr>
            </w:pPr>
            <w:r>
              <w:rPr>
                <w:rFonts w:cs="Arial"/>
                <w:b/>
                <w:sz w:val="16"/>
                <w:szCs w:val="16"/>
              </w:rPr>
              <w:t>20</w:t>
            </w:r>
            <w:r w:rsidR="00A710F7">
              <w:rPr>
                <w:rFonts w:cs="Arial"/>
                <w:b/>
                <w:sz w:val="16"/>
                <w:szCs w:val="16"/>
              </w:rPr>
              <w:t>2</w:t>
            </w:r>
            <w:r w:rsidR="001E7ADC">
              <w:rPr>
                <w:rFonts w:cs="Arial"/>
                <w:b/>
                <w:sz w:val="16"/>
                <w:szCs w:val="16"/>
              </w:rPr>
              <w:t>4</w:t>
            </w:r>
          </w:p>
        </w:tc>
        <w:tc>
          <w:tcPr>
            <w:tcW w:w="1276" w:type="dxa"/>
            <w:tcBorders>
              <w:top w:val="single" w:sz="4" w:space="0" w:color="auto"/>
              <w:bottom w:val="single" w:sz="4" w:space="0" w:color="auto"/>
            </w:tcBorders>
            <w:shd w:val="clear" w:color="auto" w:fill="BFBFBF"/>
            <w:vAlign w:val="bottom"/>
          </w:tcPr>
          <w:p w14:paraId="652D8690" w14:textId="665D5C38" w:rsidR="00F101DF" w:rsidRPr="00EE3B05" w:rsidRDefault="00F101DF" w:rsidP="00F101DF">
            <w:pPr>
              <w:jc w:val="center"/>
              <w:rPr>
                <w:rFonts w:cs="Arial"/>
                <w:b/>
                <w:sz w:val="16"/>
                <w:szCs w:val="16"/>
              </w:rPr>
            </w:pPr>
            <w:r>
              <w:rPr>
                <w:rFonts w:cs="Arial"/>
                <w:b/>
                <w:sz w:val="16"/>
                <w:szCs w:val="16"/>
              </w:rPr>
              <w:t>20</w:t>
            </w:r>
            <w:r w:rsidR="006522C4">
              <w:rPr>
                <w:rFonts w:cs="Arial"/>
                <w:b/>
                <w:sz w:val="16"/>
                <w:szCs w:val="16"/>
              </w:rPr>
              <w:t>2</w:t>
            </w:r>
            <w:r w:rsidR="001E7ADC">
              <w:rPr>
                <w:rFonts w:cs="Arial"/>
                <w:b/>
                <w:sz w:val="16"/>
                <w:szCs w:val="16"/>
              </w:rPr>
              <w:t>3</w:t>
            </w:r>
          </w:p>
        </w:tc>
      </w:tr>
      <w:tr w:rsidR="00F101DF" w:rsidRPr="00EE3B05" w14:paraId="0678E41A" w14:textId="77777777" w:rsidTr="00F101DF">
        <w:trPr>
          <w:cantSplit/>
        </w:trPr>
        <w:tc>
          <w:tcPr>
            <w:tcW w:w="6096" w:type="dxa"/>
            <w:tcBorders>
              <w:top w:val="single" w:sz="4" w:space="0" w:color="auto"/>
            </w:tcBorders>
            <w:vAlign w:val="bottom"/>
          </w:tcPr>
          <w:p w14:paraId="1C46B6CE" w14:textId="77777777" w:rsidR="00F101DF" w:rsidRPr="00EE3B05" w:rsidRDefault="00F101DF" w:rsidP="00F101DF">
            <w:pPr>
              <w:rPr>
                <w:rFonts w:cs="Arial"/>
                <w:sz w:val="16"/>
                <w:szCs w:val="16"/>
              </w:rPr>
            </w:pPr>
          </w:p>
        </w:tc>
        <w:tc>
          <w:tcPr>
            <w:tcW w:w="1275" w:type="dxa"/>
            <w:tcBorders>
              <w:top w:val="single" w:sz="4" w:space="0" w:color="auto"/>
            </w:tcBorders>
            <w:vAlign w:val="bottom"/>
          </w:tcPr>
          <w:p w14:paraId="5FDFB841" w14:textId="77777777" w:rsidR="00F101DF" w:rsidRPr="00EE3B05" w:rsidRDefault="00F101DF" w:rsidP="00F101DF">
            <w:pPr>
              <w:ind w:left="227" w:right="227"/>
              <w:jc w:val="center"/>
              <w:rPr>
                <w:rFonts w:cs="Arial"/>
                <w:sz w:val="16"/>
                <w:szCs w:val="16"/>
              </w:rPr>
            </w:pPr>
          </w:p>
        </w:tc>
        <w:tc>
          <w:tcPr>
            <w:tcW w:w="1276" w:type="dxa"/>
            <w:tcBorders>
              <w:top w:val="single" w:sz="4" w:space="0" w:color="auto"/>
            </w:tcBorders>
            <w:vAlign w:val="bottom"/>
          </w:tcPr>
          <w:p w14:paraId="24AC7107" w14:textId="77777777" w:rsidR="00F101DF" w:rsidRPr="00EE3B05" w:rsidRDefault="00F101DF" w:rsidP="00F101DF">
            <w:pPr>
              <w:ind w:left="227" w:right="227"/>
              <w:jc w:val="center"/>
              <w:rPr>
                <w:rFonts w:cs="Arial"/>
                <w:sz w:val="16"/>
                <w:szCs w:val="16"/>
              </w:rPr>
            </w:pPr>
          </w:p>
        </w:tc>
      </w:tr>
      <w:tr w:rsidR="008E3161" w:rsidRPr="00EE3B05" w14:paraId="1813D06F" w14:textId="77777777" w:rsidTr="00F101DF">
        <w:trPr>
          <w:cantSplit/>
        </w:trPr>
        <w:tc>
          <w:tcPr>
            <w:tcW w:w="6096" w:type="dxa"/>
            <w:vAlign w:val="bottom"/>
          </w:tcPr>
          <w:p w14:paraId="66D362A7" w14:textId="77777777" w:rsidR="008E3161" w:rsidRPr="00EE3B05" w:rsidRDefault="008E3161" w:rsidP="008E3161">
            <w:pPr>
              <w:rPr>
                <w:rFonts w:cs="Arial"/>
                <w:sz w:val="16"/>
                <w:szCs w:val="16"/>
              </w:rPr>
            </w:pPr>
            <w:r w:rsidRPr="00EE3B05">
              <w:rPr>
                <w:rFonts w:cs="Arial"/>
                <w:sz w:val="16"/>
                <w:szCs w:val="16"/>
              </w:rPr>
              <w:t>Transferencia</w:t>
            </w:r>
            <w:r>
              <w:rPr>
                <w:rFonts w:cs="Arial"/>
                <w:sz w:val="16"/>
                <w:szCs w:val="16"/>
              </w:rPr>
              <w:t>s</w:t>
            </w:r>
            <w:r w:rsidRPr="00EE3B05">
              <w:rPr>
                <w:rFonts w:cs="Arial"/>
                <w:sz w:val="16"/>
                <w:szCs w:val="16"/>
              </w:rPr>
              <w:t xml:space="preserve"> recibida</w:t>
            </w:r>
            <w:r>
              <w:rPr>
                <w:rFonts w:cs="Arial"/>
                <w:sz w:val="16"/>
                <w:szCs w:val="16"/>
              </w:rPr>
              <w:t>s</w:t>
            </w:r>
            <w:r w:rsidRPr="00EE3B05">
              <w:rPr>
                <w:rFonts w:cs="Arial"/>
                <w:sz w:val="16"/>
                <w:szCs w:val="16"/>
              </w:rPr>
              <w:t xml:space="preserve"> para gastos de funcionamiento</w:t>
            </w:r>
          </w:p>
        </w:tc>
        <w:tc>
          <w:tcPr>
            <w:tcW w:w="1275" w:type="dxa"/>
            <w:vAlign w:val="bottom"/>
          </w:tcPr>
          <w:p w14:paraId="567C9D1F" w14:textId="01816502" w:rsidR="008E3161" w:rsidRPr="00EE3B05" w:rsidRDefault="001E7ADC" w:rsidP="008E3161">
            <w:pPr>
              <w:jc w:val="right"/>
              <w:rPr>
                <w:rFonts w:cs="Arial"/>
                <w:sz w:val="16"/>
                <w:szCs w:val="16"/>
              </w:rPr>
            </w:pPr>
            <w:r>
              <w:rPr>
                <w:rFonts w:cs="Arial"/>
                <w:sz w:val="16"/>
                <w:szCs w:val="16"/>
              </w:rPr>
              <w:t>3.854.672,00</w:t>
            </w:r>
          </w:p>
        </w:tc>
        <w:tc>
          <w:tcPr>
            <w:tcW w:w="1276" w:type="dxa"/>
            <w:vAlign w:val="bottom"/>
          </w:tcPr>
          <w:p w14:paraId="05A4A327" w14:textId="7866183A" w:rsidR="008E3161" w:rsidRPr="00EE3B05" w:rsidRDefault="001E7ADC" w:rsidP="008E3161">
            <w:pPr>
              <w:jc w:val="right"/>
              <w:rPr>
                <w:rFonts w:cs="Arial"/>
                <w:sz w:val="16"/>
                <w:szCs w:val="16"/>
              </w:rPr>
            </w:pPr>
            <w:r>
              <w:rPr>
                <w:rFonts w:cs="Arial"/>
                <w:sz w:val="16"/>
                <w:szCs w:val="16"/>
              </w:rPr>
              <w:t>6.095.831,15</w:t>
            </w:r>
          </w:p>
        </w:tc>
      </w:tr>
      <w:tr w:rsidR="008E3161" w:rsidRPr="00EE3B05" w14:paraId="1E81664D" w14:textId="77777777" w:rsidTr="00F101DF">
        <w:trPr>
          <w:cantSplit/>
        </w:trPr>
        <w:tc>
          <w:tcPr>
            <w:tcW w:w="6096" w:type="dxa"/>
            <w:tcBorders>
              <w:bottom w:val="single" w:sz="4" w:space="0" w:color="auto"/>
            </w:tcBorders>
            <w:vAlign w:val="bottom"/>
          </w:tcPr>
          <w:p w14:paraId="4B2FEDD1" w14:textId="77777777" w:rsidR="008E3161" w:rsidRPr="00EE3B05" w:rsidRDefault="008E3161" w:rsidP="008E3161">
            <w:pPr>
              <w:rPr>
                <w:rFonts w:cs="Arial"/>
                <w:sz w:val="16"/>
                <w:szCs w:val="16"/>
              </w:rPr>
            </w:pPr>
          </w:p>
        </w:tc>
        <w:tc>
          <w:tcPr>
            <w:tcW w:w="1275" w:type="dxa"/>
            <w:tcBorders>
              <w:bottom w:val="single" w:sz="4" w:space="0" w:color="auto"/>
            </w:tcBorders>
            <w:vAlign w:val="bottom"/>
          </w:tcPr>
          <w:p w14:paraId="08C34D4F" w14:textId="77777777" w:rsidR="008E3161" w:rsidRPr="00EE3B05" w:rsidRDefault="008E3161" w:rsidP="008E3161">
            <w:pPr>
              <w:jc w:val="center"/>
              <w:rPr>
                <w:rFonts w:cs="Arial"/>
                <w:sz w:val="16"/>
                <w:szCs w:val="16"/>
              </w:rPr>
            </w:pPr>
          </w:p>
        </w:tc>
        <w:tc>
          <w:tcPr>
            <w:tcW w:w="1276" w:type="dxa"/>
            <w:tcBorders>
              <w:bottom w:val="single" w:sz="4" w:space="0" w:color="auto"/>
            </w:tcBorders>
            <w:vAlign w:val="bottom"/>
          </w:tcPr>
          <w:p w14:paraId="47799622" w14:textId="77777777" w:rsidR="008E3161" w:rsidRPr="00EE3B05" w:rsidRDefault="008E3161" w:rsidP="008E3161">
            <w:pPr>
              <w:jc w:val="center"/>
              <w:rPr>
                <w:rFonts w:cs="Arial"/>
                <w:sz w:val="16"/>
                <w:szCs w:val="16"/>
              </w:rPr>
            </w:pPr>
          </w:p>
        </w:tc>
      </w:tr>
      <w:tr w:rsidR="008E3161" w:rsidRPr="00EE3B05" w14:paraId="67D590FE" w14:textId="77777777" w:rsidTr="00F101DF">
        <w:trPr>
          <w:cantSplit/>
        </w:trPr>
        <w:tc>
          <w:tcPr>
            <w:tcW w:w="6096" w:type="dxa"/>
            <w:tcBorders>
              <w:top w:val="single" w:sz="4" w:space="0" w:color="auto"/>
              <w:bottom w:val="single" w:sz="4" w:space="0" w:color="auto"/>
            </w:tcBorders>
            <w:shd w:val="clear" w:color="auto" w:fill="BFBFBF"/>
            <w:vAlign w:val="bottom"/>
          </w:tcPr>
          <w:p w14:paraId="653E6A8B" w14:textId="77777777" w:rsidR="008E3161" w:rsidRPr="00EE3B05" w:rsidRDefault="008E3161" w:rsidP="008E3161">
            <w:pPr>
              <w:tabs>
                <w:tab w:val="left" w:pos="142"/>
              </w:tabs>
              <w:rPr>
                <w:rFonts w:cs="Arial"/>
                <w:b/>
                <w:sz w:val="16"/>
                <w:szCs w:val="16"/>
              </w:rPr>
            </w:pPr>
            <w:r w:rsidRPr="00EE3B05">
              <w:rPr>
                <w:rFonts w:cs="Arial"/>
                <w:b/>
                <w:sz w:val="16"/>
                <w:szCs w:val="16"/>
              </w:rPr>
              <w:t>Importe total neto</w:t>
            </w:r>
          </w:p>
        </w:tc>
        <w:tc>
          <w:tcPr>
            <w:tcW w:w="1275" w:type="dxa"/>
            <w:tcBorders>
              <w:top w:val="single" w:sz="4" w:space="0" w:color="auto"/>
              <w:bottom w:val="single" w:sz="4" w:space="0" w:color="auto"/>
            </w:tcBorders>
            <w:shd w:val="clear" w:color="auto" w:fill="BFBFBF"/>
            <w:vAlign w:val="bottom"/>
          </w:tcPr>
          <w:p w14:paraId="268A36C8" w14:textId="440ED82B" w:rsidR="008E3161" w:rsidRPr="00EE3B05" w:rsidRDefault="001E7ADC" w:rsidP="008E3161">
            <w:pPr>
              <w:jc w:val="right"/>
              <w:rPr>
                <w:rFonts w:cs="Arial"/>
                <w:b/>
                <w:sz w:val="16"/>
                <w:szCs w:val="16"/>
              </w:rPr>
            </w:pPr>
            <w:r>
              <w:rPr>
                <w:rFonts w:cs="Arial"/>
                <w:b/>
                <w:sz w:val="16"/>
                <w:szCs w:val="16"/>
              </w:rPr>
              <w:t>3.854.672,00</w:t>
            </w:r>
          </w:p>
        </w:tc>
        <w:tc>
          <w:tcPr>
            <w:tcW w:w="1276" w:type="dxa"/>
            <w:tcBorders>
              <w:top w:val="single" w:sz="4" w:space="0" w:color="auto"/>
              <w:bottom w:val="single" w:sz="4" w:space="0" w:color="auto"/>
            </w:tcBorders>
            <w:shd w:val="clear" w:color="auto" w:fill="BFBFBF"/>
            <w:vAlign w:val="bottom"/>
          </w:tcPr>
          <w:p w14:paraId="1F6459CB" w14:textId="60485394" w:rsidR="008E3161" w:rsidRPr="00EE3B05" w:rsidRDefault="001E7ADC" w:rsidP="008E3161">
            <w:pPr>
              <w:jc w:val="right"/>
              <w:rPr>
                <w:rFonts w:cs="Arial"/>
                <w:b/>
                <w:sz w:val="16"/>
                <w:szCs w:val="16"/>
              </w:rPr>
            </w:pPr>
            <w:r>
              <w:rPr>
                <w:rFonts w:cs="Arial"/>
                <w:b/>
                <w:sz w:val="16"/>
                <w:szCs w:val="16"/>
              </w:rPr>
              <w:t>6.095.831,15</w:t>
            </w:r>
          </w:p>
        </w:tc>
      </w:tr>
    </w:tbl>
    <w:p w14:paraId="07284EB9" w14:textId="25FA46C1" w:rsidR="00F81094" w:rsidRDefault="00F81094" w:rsidP="000F23F6">
      <w:pPr>
        <w:spacing w:before="240"/>
        <w:rPr>
          <w:rFonts w:cs="Arial"/>
        </w:rPr>
      </w:pPr>
      <w:r w:rsidRPr="00D81A8E">
        <w:rPr>
          <w:rFonts w:cs="Arial"/>
        </w:rPr>
        <w:t xml:space="preserve">La Sociedad </w:t>
      </w:r>
      <w:r w:rsidR="00D27387" w:rsidRPr="00D81A8E">
        <w:rPr>
          <w:rFonts w:cs="Arial"/>
        </w:rPr>
        <w:t>está aplicando desde el</w:t>
      </w:r>
      <w:r w:rsidRPr="00D81A8E">
        <w:rPr>
          <w:rFonts w:cs="Arial"/>
        </w:rPr>
        <w:t xml:space="preserve"> 1 de enero de 2008 los criterios de contabilización de las transferencias corrientes concedidas a las empresas públicas en las que la Administración es propietaria o socio mayoritario, establecidos por la Intervención General de la Administración del Estado y publicados por el Instituto de Contabilidad y </w:t>
      </w:r>
      <w:r w:rsidR="0094625F" w:rsidRPr="00D81A8E">
        <w:rPr>
          <w:rFonts w:cs="Arial"/>
        </w:rPr>
        <w:t>Auditoría</w:t>
      </w:r>
      <w:r w:rsidRPr="00D81A8E">
        <w:rPr>
          <w:rFonts w:cs="Arial"/>
        </w:rPr>
        <w:t xml:space="preserve"> de Cuentas que se detallan en la nota 4.10 anterior, y </w:t>
      </w:r>
      <w:r w:rsidR="00483605" w:rsidRPr="00D81A8E">
        <w:rPr>
          <w:rFonts w:cs="Arial"/>
        </w:rPr>
        <w:t>en consecuencia</w:t>
      </w:r>
      <w:r w:rsidRPr="00D81A8E">
        <w:rPr>
          <w:rFonts w:cs="Arial"/>
        </w:rPr>
        <w:t>, el importe recibido en concepto de transferencias con finalidad indeterminada para financiar gastos generales de funcionamiento de la empresa, no asociados con ninguna actividad o área de activ</w:t>
      </w:r>
      <w:r w:rsidR="0031623E" w:rsidRPr="00D81A8E">
        <w:rPr>
          <w:rFonts w:cs="Arial"/>
        </w:rPr>
        <w:t>i</w:t>
      </w:r>
      <w:r w:rsidRPr="00D81A8E">
        <w:rPr>
          <w:rFonts w:cs="Arial"/>
        </w:rPr>
        <w:t>dad en concreto sino con el conjunto de las actividades que realiza no constituyen ingresos. Como resultado de este criterio de registro contable, las citadas transferencias</w:t>
      </w:r>
      <w:r w:rsidR="002E51F7">
        <w:rPr>
          <w:rFonts w:cs="Arial"/>
        </w:rPr>
        <w:t xml:space="preserve"> netas</w:t>
      </w:r>
      <w:r w:rsidRPr="00D81A8E">
        <w:rPr>
          <w:rFonts w:cs="Arial"/>
        </w:rPr>
        <w:t xml:space="preserve"> destinadas a financiar el conjunto de las actividades que realiza la Sociedad han sido contabilizadas directamente como aportaciones del socio en el patrimonio neto </w:t>
      </w:r>
      <w:r w:rsidR="00636402" w:rsidRPr="00D81A8E">
        <w:rPr>
          <w:rFonts w:cs="Arial"/>
        </w:rPr>
        <w:t xml:space="preserve">con el </w:t>
      </w:r>
      <w:r w:rsidR="008D703D" w:rsidRPr="00D81A8E">
        <w:rPr>
          <w:rFonts w:cs="Arial"/>
        </w:rPr>
        <w:t>límite</w:t>
      </w:r>
      <w:r w:rsidR="00636402" w:rsidRPr="00D81A8E">
        <w:rPr>
          <w:rFonts w:cs="Arial"/>
        </w:rPr>
        <w:t xml:space="preserve"> del resultado negativo del ejercicio </w:t>
      </w:r>
      <w:r w:rsidRPr="00D81A8E">
        <w:rPr>
          <w:rFonts w:cs="Arial"/>
        </w:rPr>
        <w:t xml:space="preserve">por </w:t>
      </w:r>
      <w:bookmarkStart w:id="40" w:name="_Hlk159319119"/>
      <w:r w:rsidR="001E7ADC">
        <w:rPr>
          <w:rFonts w:cs="Arial"/>
        </w:rPr>
        <w:t>3.854.672,00</w:t>
      </w:r>
      <w:r w:rsidR="00251821" w:rsidRPr="00D81A8E">
        <w:rPr>
          <w:rFonts w:cs="Arial"/>
        </w:rPr>
        <w:t xml:space="preserve"> euros</w:t>
      </w:r>
      <w:bookmarkEnd w:id="40"/>
      <w:r w:rsidR="00251821" w:rsidRPr="00D81A8E">
        <w:rPr>
          <w:rFonts w:cs="Arial"/>
        </w:rPr>
        <w:t xml:space="preserve"> (</w:t>
      </w:r>
      <w:r w:rsidR="001E7ADC" w:rsidRPr="001E7ADC">
        <w:rPr>
          <w:rFonts w:cs="Arial"/>
        </w:rPr>
        <w:t>5.511.161,62</w:t>
      </w:r>
      <w:r w:rsidR="00C75874" w:rsidRPr="00D81A8E">
        <w:rPr>
          <w:rFonts w:cs="Arial"/>
        </w:rPr>
        <w:t xml:space="preserve"> euros</w:t>
      </w:r>
      <w:r w:rsidR="00D81A8E" w:rsidRPr="00D81A8E">
        <w:rPr>
          <w:rFonts w:cs="Arial"/>
        </w:rPr>
        <w:t xml:space="preserve"> </w:t>
      </w:r>
      <w:r w:rsidR="006641F2" w:rsidRPr="00D81A8E">
        <w:rPr>
          <w:rFonts w:cs="Arial"/>
        </w:rPr>
        <w:t>en 20</w:t>
      </w:r>
      <w:r w:rsidR="00AB586A" w:rsidRPr="00D81A8E">
        <w:rPr>
          <w:rFonts w:cs="Arial"/>
        </w:rPr>
        <w:t>2</w:t>
      </w:r>
      <w:r w:rsidR="001E7ADC">
        <w:rPr>
          <w:rFonts w:cs="Arial"/>
        </w:rPr>
        <w:t>3</w:t>
      </w:r>
      <w:r w:rsidR="006641F2" w:rsidRPr="00D81A8E">
        <w:rPr>
          <w:rFonts w:cs="Arial"/>
        </w:rPr>
        <w:t>)</w:t>
      </w:r>
      <w:r w:rsidR="00621C65" w:rsidRPr="00D81A8E">
        <w:rPr>
          <w:rFonts w:cs="Arial"/>
        </w:rPr>
        <w:t>.</w:t>
      </w:r>
    </w:p>
    <w:p w14:paraId="3060B8A5" w14:textId="6DF45FAD" w:rsidR="0019124B" w:rsidRDefault="0019124B" w:rsidP="00B01CC5">
      <w:pPr>
        <w:spacing w:before="240"/>
        <w:rPr>
          <w:rFonts w:cs="Arial"/>
        </w:rPr>
      </w:pPr>
      <w:r w:rsidRPr="00F96CCA">
        <w:rPr>
          <w:rFonts w:cs="Arial"/>
        </w:rPr>
        <w:t>El detalle de las aportaciones recibidas es el siguiente:</w:t>
      </w:r>
    </w:p>
    <w:p w14:paraId="39FB65EE" w14:textId="77777777" w:rsidR="0005171A" w:rsidRDefault="0005171A" w:rsidP="00B01CC5">
      <w:pPr>
        <w:spacing w:before="240"/>
        <w:rPr>
          <w:rFonts w:cs="Arial"/>
        </w:rPr>
      </w:pPr>
    </w:p>
    <w:tbl>
      <w:tblPr>
        <w:tblW w:w="8360" w:type="dxa"/>
        <w:jc w:val="center"/>
        <w:tblCellMar>
          <w:left w:w="70" w:type="dxa"/>
          <w:right w:w="70" w:type="dxa"/>
        </w:tblCellMar>
        <w:tblLook w:val="04A0" w:firstRow="1" w:lastRow="0" w:firstColumn="1" w:lastColumn="0" w:noHBand="0" w:noVBand="1"/>
      </w:tblPr>
      <w:tblGrid>
        <w:gridCol w:w="5660"/>
        <w:gridCol w:w="1280"/>
        <w:gridCol w:w="1420"/>
      </w:tblGrid>
      <w:tr w:rsidR="00AB586A" w:rsidRPr="00D50970" w14:paraId="1253AF8E" w14:textId="77777777" w:rsidTr="00AB586A">
        <w:trPr>
          <w:trHeight w:val="240"/>
          <w:jc w:val="center"/>
        </w:trPr>
        <w:tc>
          <w:tcPr>
            <w:tcW w:w="5660" w:type="dxa"/>
            <w:tcBorders>
              <w:top w:val="single" w:sz="8" w:space="0" w:color="auto"/>
              <w:left w:val="nil"/>
              <w:bottom w:val="single" w:sz="8" w:space="0" w:color="auto"/>
              <w:right w:val="nil"/>
            </w:tcBorders>
            <w:shd w:val="clear" w:color="000000" w:fill="D8D8D8"/>
            <w:noWrap/>
            <w:vAlign w:val="center"/>
            <w:hideMark/>
          </w:tcPr>
          <w:p w14:paraId="343E2DEE" w14:textId="77777777" w:rsidR="00AB586A" w:rsidRPr="00D50970" w:rsidRDefault="00AB586A" w:rsidP="00AB586A">
            <w:pPr>
              <w:jc w:val="left"/>
              <w:rPr>
                <w:rFonts w:cs="Arial"/>
                <w:b/>
                <w:bCs/>
                <w:sz w:val="16"/>
                <w:szCs w:val="16"/>
                <w:lang w:val="es-ES" w:eastAsia="es-ES"/>
              </w:rPr>
            </w:pPr>
            <w:r w:rsidRPr="00D50970">
              <w:rPr>
                <w:rFonts w:cs="Arial"/>
                <w:b/>
                <w:bCs/>
                <w:sz w:val="16"/>
                <w:szCs w:val="16"/>
                <w:lang w:val="es-ES" w:eastAsia="es-ES"/>
              </w:rPr>
              <w:t>(Euros)</w:t>
            </w:r>
          </w:p>
        </w:tc>
        <w:tc>
          <w:tcPr>
            <w:tcW w:w="1280" w:type="dxa"/>
            <w:tcBorders>
              <w:top w:val="single" w:sz="8" w:space="0" w:color="auto"/>
              <w:left w:val="nil"/>
              <w:bottom w:val="single" w:sz="8" w:space="0" w:color="auto"/>
              <w:right w:val="nil"/>
            </w:tcBorders>
            <w:shd w:val="clear" w:color="000000" w:fill="D8D8D8"/>
            <w:vAlign w:val="center"/>
            <w:hideMark/>
          </w:tcPr>
          <w:p w14:paraId="5074C5D9" w14:textId="36C9E1BB" w:rsidR="00AB586A" w:rsidRPr="00D50970" w:rsidRDefault="00AB586A" w:rsidP="00AB586A">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w:t>
            </w:r>
            <w:r w:rsidR="001E7ADC">
              <w:rPr>
                <w:rFonts w:cs="Arial"/>
                <w:b/>
                <w:bCs/>
                <w:sz w:val="16"/>
                <w:szCs w:val="16"/>
                <w:lang w:val="es-ES" w:eastAsia="es-ES"/>
              </w:rPr>
              <w:t>4</w:t>
            </w:r>
          </w:p>
        </w:tc>
        <w:tc>
          <w:tcPr>
            <w:tcW w:w="1420" w:type="dxa"/>
            <w:tcBorders>
              <w:top w:val="single" w:sz="8" w:space="0" w:color="auto"/>
              <w:left w:val="nil"/>
              <w:bottom w:val="single" w:sz="8" w:space="0" w:color="auto"/>
              <w:right w:val="nil"/>
            </w:tcBorders>
            <w:shd w:val="clear" w:color="000000" w:fill="D8D8D8"/>
            <w:vAlign w:val="center"/>
          </w:tcPr>
          <w:p w14:paraId="56D68AA1" w14:textId="790A44DF" w:rsidR="00AB586A" w:rsidRPr="00D50970" w:rsidRDefault="00AB586A" w:rsidP="00AB586A">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w:t>
            </w:r>
            <w:r w:rsidR="001E7ADC">
              <w:rPr>
                <w:rFonts w:cs="Arial"/>
                <w:b/>
                <w:bCs/>
                <w:sz w:val="16"/>
                <w:szCs w:val="16"/>
                <w:lang w:val="es-ES" w:eastAsia="es-ES"/>
              </w:rPr>
              <w:t>3</w:t>
            </w:r>
          </w:p>
        </w:tc>
      </w:tr>
      <w:tr w:rsidR="001E7ADC" w:rsidRPr="00D50970" w14:paraId="53AD446B" w14:textId="77777777" w:rsidTr="0094261E">
        <w:trPr>
          <w:trHeight w:val="225"/>
          <w:jc w:val="center"/>
        </w:trPr>
        <w:tc>
          <w:tcPr>
            <w:tcW w:w="5660" w:type="dxa"/>
            <w:tcBorders>
              <w:top w:val="nil"/>
              <w:left w:val="nil"/>
              <w:bottom w:val="nil"/>
              <w:right w:val="nil"/>
            </w:tcBorders>
            <w:shd w:val="clear" w:color="auto" w:fill="auto"/>
            <w:noWrap/>
            <w:vAlign w:val="center"/>
            <w:hideMark/>
          </w:tcPr>
          <w:p w14:paraId="2F82A6A4" w14:textId="77777777" w:rsidR="001E7ADC" w:rsidRPr="00D50970" w:rsidRDefault="001E7ADC" w:rsidP="001E7ADC">
            <w:pPr>
              <w:jc w:val="left"/>
              <w:rPr>
                <w:rFonts w:cs="Arial"/>
                <w:color w:val="000000"/>
                <w:sz w:val="16"/>
                <w:szCs w:val="16"/>
                <w:lang w:val="es-ES" w:eastAsia="es-ES"/>
              </w:rPr>
            </w:pPr>
            <w:r w:rsidRPr="00D50970">
              <w:rPr>
                <w:rFonts w:cs="Arial"/>
                <w:color w:val="000000"/>
                <w:sz w:val="16"/>
                <w:szCs w:val="16"/>
                <w:lang w:val="es-ES" w:eastAsia="es-ES"/>
              </w:rPr>
              <w:t>Saldo inicial</w:t>
            </w:r>
          </w:p>
        </w:tc>
        <w:tc>
          <w:tcPr>
            <w:tcW w:w="1280" w:type="dxa"/>
            <w:tcBorders>
              <w:top w:val="nil"/>
              <w:left w:val="nil"/>
              <w:bottom w:val="nil"/>
              <w:right w:val="nil"/>
            </w:tcBorders>
            <w:shd w:val="clear" w:color="auto" w:fill="auto"/>
            <w:noWrap/>
            <w:vAlign w:val="center"/>
            <w:hideMark/>
          </w:tcPr>
          <w:p w14:paraId="423FA311" w14:textId="77BE62AE" w:rsidR="001E7ADC" w:rsidRPr="00D50970" w:rsidRDefault="001E7ADC" w:rsidP="001E7ADC">
            <w:pPr>
              <w:jc w:val="right"/>
              <w:rPr>
                <w:rFonts w:cs="Arial"/>
                <w:b/>
                <w:bCs/>
                <w:color w:val="000000"/>
                <w:sz w:val="16"/>
                <w:szCs w:val="16"/>
                <w:lang w:val="es-ES" w:eastAsia="es-ES"/>
              </w:rPr>
            </w:pPr>
            <w:r>
              <w:rPr>
                <w:rFonts w:cs="Arial"/>
                <w:b/>
                <w:bCs/>
                <w:color w:val="000000"/>
                <w:sz w:val="16"/>
                <w:szCs w:val="16"/>
                <w:lang w:val="es-ES" w:eastAsia="es-ES"/>
              </w:rPr>
              <w:t>5.511.161,62</w:t>
            </w:r>
          </w:p>
        </w:tc>
        <w:tc>
          <w:tcPr>
            <w:tcW w:w="1420" w:type="dxa"/>
            <w:tcBorders>
              <w:top w:val="nil"/>
              <w:left w:val="nil"/>
              <w:bottom w:val="nil"/>
              <w:right w:val="nil"/>
            </w:tcBorders>
            <w:shd w:val="clear" w:color="auto" w:fill="auto"/>
            <w:vAlign w:val="center"/>
          </w:tcPr>
          <w:p w14:paraId="7F799758" w14:textId="4FD5613C" w:rsidR="001E7ADC" w:rsidRDefault="001E7ADC" w:rsidP="001E7ADC">
            <w:pPr>
              <w:jc w:val="right"/>
              <w:rPr>
                <w:rFonts w:cs="Arial"/>
                <w:b/>
                <w:bCs/>
                <w:color w:val="000000"/>
                <w:sz w:val="16"/>
                <w:szCs w:val="16"/>
                <w:lang w:val="es-ES" w:eastAsia="es-ES"/>
              </w:rPr>
            </w:pPr>
            <w:r>
              <w:rPr>
                <w:rFonts w:cs="Arial"/>
                <w:b/>
                <w:bCs/>
                <w:color w:val="000000"/>
                <w:sz w:val="16"/>
                <w:szCs w:val="16"/>
                <w:lang w:val="es-ES" w:eastAsia="es-ES"/>
              </w:rPr>
              <w:t>4.851.375,00</w:t>
            </w:r>
          </w:p>
        </w:tc>
      </w:tr>
      <w:tr w:rsidR="001E7ADC" w:rsidRPr="00D50970" w14:paraId="4D92537F" w14:textId="77777777" w:rsidTr="0094261E">
        <w:trPr>
          <w:trHeight w:val="225"/>
          <w:jc w:val="center"/>
        </w:trPr>
        <w:tc>
          <w:tcPr>
            <w:tcW w:w="5660" w:type="dxa"/>
            <w:tcBorders>
              <w:top w:val="nil"/>
              <w:left w:val="nil"/>
              <w:right w:val="nil"/>
            </w:tcBorders>
            <w:shd w:val="clear" w:color="auto" w:fill="auto"/>
            <w:vAlign w:val="center"/>
            <w:hideMark/>
          </w:tcPr>
          <w:p w14:paraId="3926AACB" w14:textId="77777777" w:rsidR="001E7ADC" w:rsidRPr="00D50970" w:rsidRDefault="001E7ADC" w:rsidP="001E7ADC">
            <w:pPr>
              <w:jc w:val="left"/>
              <w:rPr>
                <w:rFonts w:cs="Arial"/>
                <w:color w:val="000000"/>
                <w:sz w:val="16"/>
                <w:szCs w:val="16"/>
                <w:lang w:val="es-ES" w:eastAsia="es-ES"/>
              </w:rPr>
            </w:pPr>
            <w:r w:rsidRPr="00D50970">
              <w:rPr>
                <w:rFonts w:cs="Arial"/>
                <w:color w:val="000000"/>
                <w:sz w:val="16"/>
                <w:szCs w:val="16"/>
                <w:lang w:val="es-ES" w:eastAsia="es-ES"/>
              </w:rPr>
              <w:t>Aplicación resultado ejercicio anterior</w:t>
            </w:r>
            <w:r>
              <w:rPr>
                <w:rFonts w:cs="Arial"/>
                <w:color w:val="000000"/>
                <w:sz w:val="16"/>
                <w:szCs w:val="16"/>
                <w:lang w:val="es-ES" w:eastAsia="es-ES"/>
              </w:rPr>
              <w:t xml:space="preserve"> </w:t>
            </w:r>
          </w:p>
        </w:tc>
        <w:tc>
          <w:tcPr>
            <w:tcW w:w="1280" w:type="dxa"/>
            <w:tcBorders>
              <w:top w:val="nil"/>
              <w:left w:val="nil"/>
              <w:right w:val="nil"/>
            </w:tcBorders>
            <w:shd w:val="clear" w:color="auto" w:fill="auto"/>
            <w:noWrap/>
            <w:vAlign w:val="center"/>
            <w:hideMark/>
          </w:tcPr>
          <w:p w14:paraId="1B72F322" w14:textId="47111E77" w:rsidR="001E7ADC" w:rsidRPr="006D231E" w:rsidRDefault="001E7ADC" w:rsidP="001E7ADC">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5.511.161,62</w:t>
            </w:r>
            <w:r w:rsidRPr="006D231E">
              <w:rPr>
                <w:rFonts w:cs="Arial"/>
                <w:color w:val="000000"/>
                <w:sz w:val="16"/>
                <w:szCs w:val="16"/>
                <w:lang w:val="es-ES" w:eastAsia="es-ES"/>
              </w:rPr>
              <w:t>)</w:t>
            </w:r>
          </w:p>
        </w:tc>
        <w:tc>
          <w:tcPr>
            <w:tcW w:w="1420" w:type="dxa"/>
            <w:tcBorders>
              <w:top w:val="nil"/>
              <w:left w:val="nil"/>
              <w:right w:val="nil"/>
            </w:tcBorders>
            <w:shd w:val="clear" w:color="auto" w:fill="auto"/>
            <w:vAlign w:val="center"/>
          </w:tcPr>
          <w:p w14:paraId="5ADD2667" w14:textId="47DC4F1A" w:rsidR="001E7ADC" w:rsidRPr="006D231E" w:rsidRDefault="001E7ADC" w:rsidP="001E7ADC">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4.851.375,00</w:t>
            </w:r>
            <w:r w:rsidRPr="006D231E">
              <w:rPr>
                <w:rFonts w:cs="Arial"/>
                <w:color w:val="000000"/>
                <w:sz w:val="16"/>
                <w:szCs w:val="16"/>
                <w:lang w:val="es-ES" w:eastAsia="es-ES"/>
              </w:rPr>
              <w:t>)</w:t>
            </w:r>
          </w:p>
        </w:tc>
      </w:tr>
      <w:tr w:rsidR="001E7ADC" w:rsidRPr="00D50970" w14:paraId="0805C73C" w14:textId="77777777" w:rsidTr="0094261E">
        <w:trPr>
          <w:trHeight w:val="225"/>
          <w:jc w:val="center"/>
        </w:trPr>
        <w:tc>
          <w:tcPr>
            <w:tcW w:w="5660" w:type="dxa"/>
            <w:tcBorders>
              <w:top w:val="nil"/>
              <w:left w:val="nil"/>
              <w:right w:val="nil"/>
            </w:tcBorders>
            <w:shd w:val="clear" w:color="auto" w:fill="auto"/>
            <w:vAlign w:val="center"/>
            <w:hideMark/>
          </w:tcPr>
          <w:p w14:paraId="019A0A2E" w14:textId="77777777" w:rsidR="001E7ADC" w:rsidRPr="00D50970" w:rsidRDefault="001E7ADC" w:rsidP="001E7ADC">
            <w:pPr>
              <w:jc w:val="left"/>
              <w:rPr>
                <w:rFonts w:cs="Arial"/>
                <w:color w:val="000000"/>
                <w:sz w:val="16"/>
                <w:szCs w:val="16"/>
                <w:lang w:val="es-ES" w:eastAsia="es-ES"/>
              </w:rPr>
            </w:pPr>
            <w:r w:rsidRPr="00D50970">
              <w:rPr>
                <w:rFonts w:cs="Arial"/>
                <w:color w:val="000000"/>
                <w:sz w:val="16"/>
                <w:szCs w:val="16"/>
                <w:lang w:val="es-ES" w:eastAsia="es-ES"/>
              </w:rPr>
              <w:t>Transferencia</w:t>
            </w:r>
            <w:r>
              <w:rPr>
                <w:rFonts w:cs="Arial"/>
                <w:color w:val="000000"/>
                <w:sz w:val="16"/>
                <w:szCs w:val="16"/>
                <w:lang w:val="es-ES" w:eastAsia="es-ES"/>
              </w:rPr>
              <w:t>s</w:t>
            </w:r>
            <w:r w:rsidRPr="00D50970">
              <w:rPr>
                <w:rFonts w:cs="Arial"/>
                <w:color w:val="000000"/>
                <w:sz w:val="16"/>
                <w:szCs w:val="16"/>
                <w:lang w:val="es-ES" w:eastAsia="es-ES"/>
              </w:rPr>
              <w:t xml:space="preserve"> corriente</w:t>
            </w:r>
            <w:r>
              <w:rPr>
                <w:rFonts w:cs="Arial"/>
                <w:color w:val="000000"/>
                <w:sz w:val="16"/>
                <w:szCs w:val="16"/>
                <w:lang w:val="es-ES" w:eastAsia="es-ES"/>
              </w:rPr>
              <w:t>s</w:t>
            </w:r>
          </w:p>
        </w:tc>
        <w:tc>
          <w:tcPr>
            <w:tcW w:w="1280" w:type="dxa"/>
            <w:tcBorders>
              <w:top w:val="nil"/>
              <w:left w:val="nil"/>
              <w:right w:val="nil"/>
            </w:tcBorders>
            <w:shd w:val="clear" w:color="auto" w:fill="auto"/>
            <w:noWrap/>
            <w:vAlign w:val="center"/>
            <w:hideMark/>
          </w:tcPr>
          <w:p w14:paraId="0D852E6D" w14:textId="79FFBD32" w:rsidR="001E7ADC" w:rsidRPr="00D50970" w:rsidRDefault="001E7ADC" w:rsidP="001E7ADC">
            <w:pPr>
              <w:jc w:val="right"/>
              <w:rPr>
                <w:rFonts w:cs="Arial"/>
                <w:color w:val="000000"/>
                <w:sz w:val="16"/>
                <w:szCs w:val="16"/>
                <w:lang w:val="es-ES" w:eastAsia="es-ES"/>
              </w:rPr>
            </w:pPr>
            <w:r>
              <w:rPr>
                <w:rFonts w:cs="Arial"/>
                <w:color w:val="000000"/>
                <w:sz w:val="16"/>
                <w:szCs w:val="16"/>
                <w:lang w:val="es-ES" w:eastAsia="es-ES"/>
              </w:rPr>
              <w:t>3.854.672,00</w:t>
            </w:r>
          </w:p>
        </w:tc>
        <w:tc>
          <w:tcPr>
            <w:tcW w:w="1420" w:type="dxa"/>
            <w:tcBorders>
              <w:top w:val="nil"/>
              <w:left w:val="nil"/>
              <w:right w:val="nil"/>
            </w:tcBorders>
            <w:shd w:val="clear" w:color="auto" w:fill="auto"/>
            <w:vAlign w:val="center"/>
          </w:tcPr>
          <w:p w14:paraId="1F42C0DF" w14:textId="6D41E9CE" w:rsidR="001E7ADC" w:rsidRDefault="001E7ADC" w:rsidP="001E7ADC">
            <w:pPr>
              <w:jc w:val="right"/>
              <w:rPr>
                <w:rFonts w:cs="Arial"/>
                <w:color w:val="000000"/>
                <w:sz w:val="16"/>
                <w:szCs w:val="16"/>
                <w:lang w:val="es-ES" w:eastAsia="es-ES"/>
              </w:rPr>
            </w:pPr>
            <w:r>
              <w:rPr>
                <w:rFonts w:cs="Arial"/>
                <w:color w:val="000000"/>
                <w:sz w:val="16"/>
                <w:szCs w:val="16"/>
                <w:lang w:val="es-ES" w:eastAsia="es-ES"/>
              </w:rPr>
              <w:t>6.095.831,15</w:t>
            </w:r>
          </w:p>
        </w:tc>
      </w:tr>
      <w:tr w:rsidR="001E7ADC" w:rsidRPr="00D50970" w14:paraId="741DD9B8" w14:textId="77777777" w:rsidTr="0094261E">
        <w:trPr>
          <w:trHeight w:val="225"/>
          <w:jc w:val="center"/>
        </w:trPr>
        <w:tc>
          <w:tcPr>
            <w:tcW w:w="5660" w:type="dxa"/>
            <w:tcBorders>
              <w:left w:val="nil"/>
              <w:right w:val="nil"/>
            </w:tcBorders>
            <w:shd w:val="clear" w:color="auto" w:fill="auto"/>
            <w:vAlign w:val="center"/>
          </w:tcPr>
          <w:p w14:paraId="60B8EAD0" w14:textId="77777777" w:rsidR="001E7ADC" w:rsidRPr="00D50970" w:rsidRDefault="001E7ADC" w:rsidP="001E7ADC">
            <w:pPr>
              <w:jc w:val="left"/>
              <w:rPr>
                <w:rFonts w:cs="Arial"/>
                <w:color w:val="000000"/>
                <w:sz w:val="16"/>
                <w:szCs w:val="16"/>
                <w:lang w:val="es-ES" w:eastAsia="es-ES"/>
              </w:rPr>
            </w:pPr>
            <w:r>
              <w:rPr>
                <w:rFonts w:cs="Arial"/>
                <w:color w:val="000000"/>
                <w:sz w:val="16"/>
                <w:szCs w:val="16"/>
                <w:lang w:val="es-ES" w:eastAsia="es-ES"/>
              </w:rPr>
              <w:t>Importe a reintegrar</w:t>
            </w:r>
          </w:p>
        </w:tc>
        <w:tc>
          <w:tcPr>
            <w:tcW w:w="1280" w:type="dxa"/>
            <w:tcBorders>
              <w:left w:val="nil"/>
              <w:right w:val="nil"/>
            </w:tcBorders>
            <w:shd w:val="clear" w:color="auto" w:fill="auto"/>
            <w:noWrap/>
            <w:vAlign w:val="center"/>
          </w:tcPr>
          <w:p w14:paraId="3115193C" w14:textId="1C5FAFE2" w:rsidR="001E7ADC" w:rsidRDefault="001E7ADC" w:rsidP="001E7ADC">
            <w:pPr>
              <w:jc w:val="right"/>
              <w:rPr>
                <w:rFonts w:cs="Arial"/>
                <w:color w:val="000000"/>
                <w:sz w:val="16"/>
                <w:szCs w:val="16"/>
                <w:lang w:val="es-ES" w:eastAsia="es-ES"/>
              </w:rPr>
            </w:pPr>
            <w:r>
              <w:rPr>
                <w:rFonts w:cs="Arial"/>
                <w:color w:val="000000"/>
                <w:sz w:val="16"/>
                <w:szCs w:val="16"/>
                <w:lang w:val="es-ES" w:eastAsia="es-ES"/>
              </w:rPr>
              <w:t>0,00</w:t>
            </w:r>
          </w:p>
        </w:tc>
        <w:tc>
          <w:tcPr>
            <w:tcW w:w="1420" w:type="dxa"/>
            <w:tcBorders>
              <w:left w:val="nil"/>
              <w:right w:val="nil"/>
            </w:tcBorders>
            <w:shd w:val="clear" w:color="auto" w:fill="auto"/>
            <w:vAlign w:val="center"/>
          </w:tcPr>
          <w:p w14:paraId="6B9078A0" w14:textId="437EC098" w:rsidR="001E7ADC" w:rsidRDefault="001E7ADC" w:rsidP="001E7ADC">
            <w:pPr>
              <w:jc w:val="right"/>
              <w:rPr>
                <w:rFonts w:cs="Arial"/>
                <w:color w:val="000000"/>
                <w:sz w:val="16"/>
                <w:szCs w:val="16"/>
                <w:lang w:val="es-ES" w:eastAsia="es-ES"/>
              </w:rPr>
            </w:pPr>
            <w:r>
              <w:rPr>
                <w:rFonts w:cs="Arial"/>
                <w:color w:val="000000"/>
                <w:sz w:val="16"/>
                <w:szCs w:val="16"/>
                <w:lang w:val="es-ES" w:eastAsia="es-ES"/>
              </w:rPr>
              <w:t>(584.669,53)</w:t>
            </w:r>
          </w:p>
        </w:tc>
      </w:tr>
      <w:tr w:rsidR="001E7ADC" w:rsidRPr="00D50970" w14:paraId="433EE9D9" w14:textId="77777777" w:rsidTr="00AB586A">
        <w:trPr>
          <w:trHeight w:val="240"/>
          <w:jc w:val="center"/>
        </w:trPr>
        <w:tc>
          <w:tcPr>
            <w:tcW w:w="5660" w:type="dxa"/>
            <w:tcBorders>
              <w:top w:val="single" w:sz="8" w:space="0" w:color="auto"/>
              <w:left w:val="nil"/>
              <w:bottom w:val="single" w:sz="8" w:space="0" w:color="auto"/>
              <w:right w:val="nil"/>
            </w:tcBorders>
            <w:shd w:val="clear" w:color="000000" w:fill="D8D8D8"/>
            <w:vAlign w:val="center"/>
            <w:hideMark/>
          </w:tcPr>
          <w:p w14:paraId="383668DF" w14:textId="77777777" w:rsidR="001E7ADC" w:rsidRPr="00D50970" w:rsidRDefault="001E7ADC" w:rsidP="001E7ADC">
            <w:pPr>
              <w:jc w:val="left"/>
              <w:rPr>
                <w:rFonts w:cs="Arial"/>
                <w:b/>
                <w:bCs/>
                <w:color w:val="000000"/>
                <w:sz w:val="16"/>
                <w:szCs w:val="16"/>
                <w:lang w:val="es-ES" w:eastAsia="es-ES"/>
              </w:rPr>
            </w:pPr>
            <w:r w:rsidRPr="00D50970">
              <w:rPr>
                <w:rFonts w:cs="Arial"/>
                <w:b/>
                <w:bCs/>
                <w:color w:val="000000"/>
                <w:sz w:val="16"/>
                <w:szCs w:val="16"/>
                <w:lang w:val="es-ES" w:eastAsia="es-ES"/>
              </w:rPr>
              <w:t>Saldo final</w:t>
            </w:r>
          </w:p>
        </w:tc>
        <w:tc>
          <w:tcPr>
            <w:tcW w:w="1280" w:type="dxa"/>
            <w:tcBorders>
              <w:top w:val="single" w:sz="8" w:space="0" w:color="auto"/>
              <w:left w:val="nil"/>
              <w:bottom w:val="single" w:sz="8" w:space="0" w:color="auto"/>
              <w:right w:val="nil"/>
            </w:tcBorders>
            <w:shd w:val="clear" w:color="000000" w:fill="D8D8D8"/>
            <w:noWrap/>
            <w:vAlign w:val="center"/>
            <w:hideMark/>
          </w:tcPr>
          <w:p w14:paraId="1A6204C3" w14:textId="412FF07D" w:rsidR="001E7ADC" w:rsidRPr="00D50970" w:rsidRDefault="001E7ADC" w:rsidP="001E7ADC">
            <w:pPr>
              <w:jc w:val="right"/>
              <w:rPr>
                <w:rFonts w:cs="Arial"/>
                <w:b/>
                <w:bCs/>
                <w:sz w:val="16"/>
                <w:szCs w:val="16"/>
                <w:lang w:val="es-ES" w:eastAsia="es-ES"/>
              </w:rPr>
            </w:pPr>
            <w:r>
              <w:rPr>
                <w:rFonts w:cs="Arial"/>
                <w:b/>
                <w:bCs/>
                <w:sz w:val="16"/>
                <w:szCs w:val="16"/>
                <w:lang w:val="es-ES" w:eastAsia="es-ES"/>
              </w:rPr>
              <w:t>3.854.672,00</w:t>
            </w:r>
            <w:r w:rsidRPr="00D50970">
              <w:rPr>
                <w:rFonts w:cs="Arial"/>
                <w:b/>
                <w:bCs/>
                <w:sz w:val="16"/>
                <w:szCs w:val="16"/>
                <w:lang w:val="es-ES" w:eastAsia="es-ES"/>
              </w:rPr>
              <w:t xml:space="preserve"> </w:t>
            </w:r>
          </w:p>
        </w:tc>
        <w:tc>
          <w:tcPr>
            <w:tcW w:w="1420" w:type="dxa"/>
            <w:tcBorders>
              <w:top w:val="single" w:sz="8" w:space="0" w:color="auto"/>
              <w:left w:val="nil"/>
              <w:bottom w:val="single" w:sz="8" w:space="0" w:color="auto"/>
              <w:right w:val="nil"/>
            </w:tcBorders>
            <w:shd w:val="clear" w:color="000000" w:fill="D8D8D8"/>
            <w:vAlign w:val="center"/>
          </w:tcPr>
          <w:p w14:paraId="1668D7C5" w14:textId="112E8504" w:rsidR="001E7ADC" w:rsidRPr="00D50970" w:rsidRDefault="001E7ADC" w:rsidP="001E7ADC">
            <w:pPr>
              <w:jc w:val="right"/>
              <w:rPr>
                <w:rFonts w:cs="Arial"/>
                <w:b/>
                <w:bCs/>
                <w:sz w:val="16"/>
                <w:szCs w:val="16"/>
                <w:lang w:val="es-ES" w:eastAsia="es-ES"/>
              </w:rPr>
            </w:pPr>
            <w:r>
              <w:rPr>
                <w:rFonts w:cs="Arial"/>
                <w:b/>
                <w:bCs/>
                <w:sz w:val="16"/>
                <w:szCs w:val="16"/>
                <w:lang w:val="es-ES" w:eastAsia="es-ES"/>
              </w:rPr>
              <w:t>5.511.161,62</w:t>
            </w:r>
            <w:r w:rsidRPr="00D50970">
              <w:rPr>
                <w:rFonts w:cs="Arial"/>
                <w:b/>
                <w:bCs/>
                <w:sz w:val="16"/>
                <w:szCs w:val="16"/>
                <w:lang w:val="es-ES" w:eastAsia="es-ES"/>
              </w:rPr>
              <w:t xml:space="preserve"> </w:t>
            </w:r>
          </w:p>
        </w:tc>
      </w:tr>
    </w:tbl>
    <w:p w14:paraId="53F911D7" w14:textId="77777777" w:rsidR="003B133E" w:rsidRDefault="003B133E" w:rsidP="002C2286">
      <w:pPr>
        <w:rPr>
          <w:rFonts w:cs="Arial"/>
        </w:rPr>
      </w:pPr>
    </w:p>
    <w:p w14:paraId="1F3B9257" w14:textId="77777777" w:rsidR="00AC751B" w:rsidRDefault="00AC751B" w:rsidP="002C2286">
      <w:pPr>
        <w:rPr>
          <w:rFonts w:cs="Arial"/>
        </w:rPr>
      </w:pPr>
    </w:p>
    <w:p w14:paraId="5699B8EE" w14:textId="6E54E7B2" w:rsidR="006D24D8" w:rsidRDefault="006D24D8" w:rsidP="002C2286">
      <w:pPr>
        <w:rPr>
          <w:rFonts w:cs="Arial"/>
        </w:rPr>
      </w:pPr>
      <w:r w:rsidRPr="006D24D8">
        <w:rPr>
          <w:rFonts w:cs="Arial"/>
        </w:rPr>
        <w:t>La Sociedad</w:t>
      </w:r>
      <w:r>
        <w:rPr>
          <w:rFonts w:cs="Arial"/>
        </w:rPr>
        <w:t xml:space="preserve"> </w:t>
      </w:r>
      <w:r w:rsidR="00D63938">
        <w:rPr>
          <w:rFonts w:cs="Arial"/>
        </w:rPr>
        <w:t>registró en el ejercicio 2018</w:t>
      </w:r>
      <w:r>
        <w:rPr>
          <w:rFonts w:cs="Arial"/>
        </w:rPr>
        <w:t xml:space="preserve"> como una deuda a largo plazo la parte del exceso de aportación del accionista único derivado del </w:t>
      </w:r>
      <w:r w:rsidR="00725396">
        <w:rPr>
          <w:rFonts w:cs="Arial"/>
        </w:rPr>
        <w:t>reconocimiento del</w:t>
      </w:r>
      <w:r>
        <w:rPr>
          <w:rFonts w:cs="Arial"/>
        </w:rPr>
        <w:t xml:space="preserve"> inmueble indicado en la Nota 7 hasta tanto se resuelva con la Consejería la forma de reintegro de la citada cantidad.</w:t>
      </w:r>
    </w:p>
    <w:p w14:paraId="4A499CF6" w14:textId="0517689B" w:rsidR="002E51F7" w:rsidRDefault="002E51F7" w:rsidP="002C2286">
      <w:pPr>
        <w:rPr>
          <w:rFonts w:cs="Arial"/>
        </w:rPr>
      </w:pPr>
    </w:p>
    <w:p w14:paraId="6E14B09D" w14:textId="052A4414" w:rsidR="002E51F7" w:rsidRDefault="002E51F7" w:rsidP="002C2286">
      <w:pPr>
        <w:rPr>
          <w:rFonts w:cs="Arial"/>
        </w:rPr>
      </w:pPr>
      <w:r>
        <w:rPr>
          <w:rFonts w:cs="Arial"/>
        </w:rPr>
        <w:t>Por último, por Orden de 21 de noviembre de 2023 se recibe una aportación adicional por importe de 371.502,35 euros de la Consejería de Agricultura, Ganadería, Pesca y Soberanía Alimentaria para la compensación de los resultados negativos del ejercicio 2022 no cubiertos con la aportación del accionista único para dicho ejercicio.</w:t>
      </w:r>
    </w:p>
    <w:p w14:paraId="70330053" w14:textId="77777777" w:rsidR="00720C42" w:rsidRDefault="00720C42" w:rsidP="002C2286">
      <w:pPr>
        <w:rPr>
          <w:rFonts w:cs="Arial"/>
        </w:rPr>
      </w:pPr>
    </w:p>
    <w:p w14:paraId="30CFD14B" w14:textId="65755530" w:rsidR="00483C25" w:rsidRDefault="00483C25" w:rsidP="002C2286">
      <w:pPr>
        <w:rPr>
          <w:rFonts w:cs="Arial"/>
        </w:rPr>
      </w:pPr>
    </w:p>
    <w:p w14:paraId="625858DA" w14:textId="77777777" w:rsidR="00352ED5" w:rsidRPr="00446788" w:rsidRDefault="00560402" w:rsidP="005E1A22">
      <w:pPr>
        <w:rPr>
          <w:rFonts w:cs="Arial"/>
          <w:b/>
        </w:rPr>
      </w:pPr>
      <w:r w:rsidRPr="000C11F5">
        <w:rPr>
          <w:rFonts w:cs="Arial"/>
          <w:b/>
        </w:rPr>
        <w:t>1</w:t>
      </w:r>
      <w:r w:rsidR="004B6895" w:rsidRPr="000C11F5">
        <w:rPr>
          <w:rFonts w:cs="Arial"/>
          <w:b/>
        </w:rPr>
        <w:t>2</w:t>
      </w:r>
      <w:r w:rsidR="005E1A22" w:rsidRPr="000C11F5">
        <w:rPr>
          <w:rFonts w:cs="Arial"/>
          <w:b/>
        </w:rPr>
        <w:t>.</w:t>
      </w:r>
      <w:r w:rsidR="005E1A22" w:rsidRPr="000C11F5">
        <w:rPr>
          <w:rFonts w:cs="Arial"/>
          <w:b/>
        </w:rPr>
        <w:tab/>
      </w:r>
      <w:r w:rsidR="00352ED5" w:rsidRPr="00446788">
        <w:rPr>
          <w:rFonts w:cs="Arial"/>
          <w:b/>
        </w:rPr>
        <w:t>SUBVENCIONES RECIBIDAS</w:t>
      </w:r>
    </w:p>
    <w:p w14:paraId="72558D97" w14:textId="77777777" w:rsidR="001F6EF3" w:rsidRPr="0045031E" w:rsidRDefault="001F6EF3" w:rsidP="00710604">
      <w:pPr>
        <w:spacing w:before="240"/>
        <w:rPr>
          <w:rFonts w:cs="Arial"/>
        </w:rPr>
      </w:pPr>
      <w:r w:rsidRPr="00446788">
        <w:rPr>
          <w:rFonts w:cs="Arial"/>
          <w:b/>
          <w:szCs w:val="20"/>
        </w:rPr>
        <w:t>1</w:t>
      </w:r>
      <w:r w:rsidR="004B6895" w:rsidRPr="00446788">
        <w:rPr>
          <w:rFonts w:cs="Arial"/>
          <w:b/>
          <w:szCs w:val="20"/>
        </w:rPr>
        <w:t>2</w:t>
      </w:r>
      <w:r w:rsidRPr="00561A24">
        <w:rPr>
          <w:rFonts w:cs="Arial"/>
          <w:b/>
          <w:szCs w:val="20"/>
        </w:rPr>
        <w:t>.1</w:t>
      </w:r>
      <w:r w:rsidRPr="00561A24">
        <w:rPr>
          <w:rFonts w:cs="Arial"/>
          <w:b/>
          <w:szCs w:val="20"/>
        </w:rPr>
        <w:tab/>
        <w:t>Subvenciones de explotación</w:t>
      </w:r>
    </w:p>
    <w:p w14:paraId="5725D75C" w14:textId="3EEC0A99" w:rsidR="003F760A" w:rsidRPr="00561A24" w:rsidRDefault="003F760A" w:rsidP="003F760A">
      <w:pPr>
        <w:spacing w:before="240"/>
      </w:pPr>
      <w:r w:rsidRPr="00561A24">
        <w:t>A lo largo del ejercicio 20</w:t>
      </w:r>
      <w:r w:rsidR="00EE15CF" w:rsidRPr="00561A24">
        <w:t>2</w:t>
      </w:r>
      <w:r w:rsidR="00561A24" w:rsidRPr="00561A24">
        <w:t>4</w:t>
      </w:r>
      <w:r w:rsidRPr="00561A24">
        <w:t xml:space="preserve">, la Sociedad ha organizado y gestionado formación bonificada a través de la plataforma de la “Fundación Estatal para la Formación en el Empleo” por un total de </w:t>
      </w:r>
      <w:bookmarkStart w:id="41" w:name="_Hlk63753746"/>
      <w:bookmarkStart w:id="42" w:name="_Hlk159319813"/>
      <w:r w:rsidR="00561A24" w:rsidRPr="00561A24">
        <w:t>11.086,33</w:t>
      </w:r>
      <w:r w:rsidRPr="00561A24">
        <w:t xml:space="preserve"> </w:t>
      </w:r>
      <w:bookmarkEnd w:id="41"/>
      <w:r w:rsidRPr="00561A24">
        <w:t xml:space="preserve">euros </w:t>
      </w:r>
      <w:bookmarkEnd w:id="42"/>
      <w:r w:rsidRPr="00561A24">
        <w:t>(</w:t>
      </w:r>
      <w:r w:rsidR="00561A24" w:rsidRPr="00561A24">
        <w:t xml:space="preserve">7.952,50 </w:t>
      </w:r>
      <w:r w:rsidR="00CB1E41" w:rsidRPr="00561A24">
        <w:t xml:space="preserve">euros </w:t>
      </w:r>
      <w:r w:rsidRPr="00561A24">
        <w:t>en 20</w:t>
      </w:r>
      <w:r w:rsidR="00C510A4" w:rsidRPr="00561A24">
        <w:t>2</w:t>
      </w:r>
      <w:r w:rsidR="00561A24" w:rsidRPr="00561A24">
        <w:t>3</w:t>
      </w:r>
      <w:r w:rsidRPr="00561A24">
        <w:t>).</w:t>
      </w:r>
    </w:p>
    <w:p w14:paraId="2ED6D176" w14:textId="40DE1A42" w:rsidR="00984BA2" w:rsidRPr="001E7ADC" w:rsidRDefault="00984BA2" w:rsidP="00B15952">
      <w:pPr>
        <w:rPr>
          <w:highlight w:val="yellow"/>
        </w:rPr>
      </w:pPr>
    </w:p>
    <w:p w14:paraId="2AC1CC87" w14:textId="7DF2061A" w:rsidR="00C95C43" w:rsidRPr="007C2828" w:rsidRDefault="00C95C43" w:rsidP="00C95C43">
      <w:bookmarkStart w:id="43" w:name="_Hlk191462212"/>
      <w:r w:rsidRPr="00951698">
        <w:lastRenderedPageBreak/>
        <w:t xml:space="preserve">Con fecha 31 de diciembre de 2024 la Consejería de Agricultura, Ganadería, Pesca y Soberanía Alimentaria concede a la Sociedad una aportación dineraria para “Para llevar a cabo actuaciones en el marco del proyecto “Crecer Juntos”, para favorecer el desarrollo rural sostenible de los municipios de menos de 10.000 habitantes de Canarias”, por importe de 2.500.000,00 euros. El plazo de aplicación de los fondos será desde la </w:t>
      </w:r>
      <w:r w:rsidR="002C4D46" w:rsidRPr="00951698">
        <w:t xml:space="preserve">fecha de </w:t>
      </w:r>
      <w:r w:rsidRPr="00951698">
        <w:t xml:space="preserve">notificación </w:t>
      </w:r>
      <w:r w:rsidR="00A0133F" w:rsidRPr="00951698">
        <w:t>(13</w:t>
      </w:r>
      <w:r w:rsidRPr="00951698">
        <w:t xml:space="preserve"> de </w:t>
      </w:r>
      <w:r w:rsidR="00A0133F" w:rsidRPr="00951698">
        <w:t>enero</w:t>
      </w:r>
      <w:r w:rsidRPr="00951698">
        <w:t xml:space="preserve"> de </w:t>
      </w:r>
      <w:r w:rsidR="00A0133F" w:rsidRPr="00951698">
        <w:t>2025)</w:t>
      </w:r>
      <w:r w:rsidRPr="00951698">
        <w:t xml:space="preserve">, hasta el 31 de diciembre de 2025, por lo que a 31 de diciembre de 2024 la Sociedad </w:t>
      </w:r>
      <w:r w:rsidR="002C4D46" w:rsidRPr="00951698">
        <w:t xml:space="preserve">no </w:t>
      </w:r>
      <w:r w:rsidRPr="00951698">
        <w:t>ha ejecutado importe alguno.</w:t>
      </w:r>
      <w:r w:rsidRPr="007C2828">
        <w:t xml:space="preserve"> </w:t>
      </w:r>
    </w:p>
    <w:bookmarkEnd w:id="43"/>
    <w:p w14:paraId="3C9E1192" w14:textId="77777777" w:rsidR="00C95C43" w:rsidRDefault="00C95C43" w:rsidP="00561A24"/>
    <w:p w14:paraId="5AC0FAE6" w14:textId="4E9A2329" w:rsidR="00561A24" w:rsidRPr="007C2828" w:rsidRDefault="00561A24" w:rsidP="00561A24">
      <w:r w:rsidRPr="007C2828">
        <w:t xml:space="preserve">Con fecha 23 de julio de 2024 la Consejería de Agricultura, Ganadería, Pesca y Soberanía </w:t>
      </w:r>
      <w:r w:rsidR="0053021F">
        <w:t>A</w:t>
      </w:r>
      <w:r w:rsidRPr="007C2828">
        <w:t xml:space="preserve">limentaria concede a la Sociedad una aportación dineraria para </w:t>
      </w:r>
      <w:r w:rsidR="007C2828">
        <w:t>“</w:t>
      </w:r>
      <w:r w:rsidRPr="007C2828">
        <w:t>Atender las actividades de promoción y comunicación</w:t>
      </w:r>
      <w:r w:rsidR="007C2828">
        <w:t>”</w:t>
      </w:r>
      <w:r w:rsidRPr="007C2828">
        <w:t>, por importe de 400.000,00 euros. A 31 de diciembre de 202</w:t>
      </w:r>
      <w:r w:rsidR="007C2828">
        <w:t>4</w:t>
      </w:r>
      <w:r w:rsidRPr="007C2828">
        <w:t xml:space="preserve"> la Sociedad ha ejecutado </w:t>
      </w:r>
      <w:r w:rsidR="007C2828" w:rsidRPr="007C2828">
        <w:t>el importe total de esta aportación</w:t>
      </w:r>
      <w:r w:rsidRPr="007C2828">
        <w:t xml:space="preserve">. </w:t>
      </w:r>
    </w:p>
    <w:p w14:paraId="62AC37BA" w14:textId="77777777" w:rsidR="00561A24" w:rsidRDefault="00561A24" w:rsidP="004D73A5">
      <w:pPr>
        <w:rPr>
          <w:highlight w:val="yellow"/>
        </w:rPr>
      </w:pPr>
    </w:p>
    <w:p w14:paraId="117B64C8" w14:textId="0374AC41" w:rsidR="004D73A5" w:rsidRPr="007C2828" w:rsidRDefault="004D73A5" w:rsidP="004D73A5">
      <w:bookmarkStart w:id="44" w:name="_Hlk190682921"/>
      <w:r w:rsidRPr="007C2828">
        <w:t xml:space="preserve">Con fecha </w:t>
      </w:r>
      <w:r w:rsidR="003F62F0" w:rsidRPr="007C2828">
        <w:t>19 de diciembre de 2023 la Consejería de Agricultura, Ganadería, Pesca y Soberanía alimentaria concede a la Sociedad una subvención directa nominada para el Apoyo a la Comercialización, Promoción y Ferias de Producto Local, por importe de 1.312.456,13 euros y ejecución 2023 y 2024</w:t>
      </w:r>
      <w:r w:rsidR="007C2828">
        <w:t>, de los cuales en 2024 ha ejecutado 1.215.020,57 euros</w:t>
      </w:r>
      <w:r w:rsidR="0053021F">
        <w:t xml:space="preserve"> </w:t>
      </w:r>
      <w:r w:rsidR="007C2828" w:rsidRPr="007C2828">
        <w:t>(</w:t>
      </w:r>
      <w:r w:rsidR="003F62F0" w:rsidRPr="007C2828">
        <w:t>97.435,56 euros</w:t>
      </w:r>
      <w:r w:rsidR="007C2828" w:rsidRPr="007C2828">
        <w:t xml:space="preserve"> a 31 de diciembre de 2023)</w:t>
      </w:r>
      <w:r w:rsidR="003F62F0" w:rsidRPr="007C2828">
        <w:t xml:space="preserve">. </w:t>
      </w:r>
    </w:p>
    <w:bookmarkEnd w:id="44"/>
    <w:p w14:paraId="15CC3EF5" w14:textId="77777777" w:rsidR="00F84907" w:rsidRPr="001E7ADC" w:rsidRDefault="00F84907" w:rsidP="009621A3">
      <w:pPr>
        <w:rPr>
          <w:highlight w:val="yellow"/>
        </w:rPr>
      </w:pPr>
    </w:p>
    <w:p w14:paraId="7D494803" w14:textId="35DAE552" w:rsidR="00F80BAD" w:rsidRPr="003F62F0" w:rsidRDefault="001A7929" w:rsidP="00F80BAD">
      <w:r w:rsidRPr="001A7929">
        <w:t xml:space="preserve">Con fecha </w:t>
      </w:r>
      <w:r>
        <w:t>4</w:t>
      </w:r>
      <w:r w:rsidRPr="001A7929">
        <w:t xml:space="preserve"> de </w:t>
      </w:r>
      <w:r>
        <w:t>noviembre de 2024</w:t>
      </w:r>
      <w:r w:rsidRPr="001A7929">
        <w:t xml:space="preserve">, el Cabildo de Gran Canaria ha concedido una subvención nominada a la Sociedad, por importe total de </w:t>
      </w:r>
      <w:r>
        <w:t>7</w:t>
      </w:r>
      <w:r w:rsidRPr="001A7929">
        <w:t xml:space="preserve">0.000 euros, para los gastos corrientes que se deriven del proyecto </w:t>
      </w:r>
      <w:r>
        <w:t>“</w:t>
      </w:r>
      <w:r w:rsidRPr="001A7929">
        <w:t>V</w:t>
      </w:r>
      <w:r w:rsidRPr="001A7929">
        <w:rPr>
          <w:lang w:val="es-ES"/>
        </w:rPr>
        <w:t>alorización de las producciones locales</w:t>
      </w:r>
      <w:r>
        <w:rPr>
          <w:lang w:val="es-ES"/>
        </w:rPr>
        <w:t xml:space="preserve">” y “Valorización de frutas de </w:t>
      </w:r>
      <w:r w:rsidRPr="001A7929">
        <w:t>Gran Canaria</w:t>
      </w:r>
      <w:r>
        <w:t>”</w:t>
      </w:r>
      <w:r w:rsidRPr="001A7929">
        <w:t xml:space="preserve">, de los cuales en 2024 ha ejecutado </w:t>
      </w:r>
      <w:r>
        <w:t>11.621,61</w:t>
      </w:r>
      <w:r w:rsidRPr="001A7929">
        <w:t xml:space="preserve"> euros. </w:t>
      </w:r>
      <w:r w:rsidR="00F80BAD" w:rsidRPr="003F62F0">
        <w:t xml:space="preserve">El resto, por importe de </w:t>
      </w:r>
      <w:r w:rsidR="00FE3E56">
        <w:t>58.378,39</w:t>
      </w:r>
      <w:r w:rsidR="00F80BAD" w:rsidRPr="003F62F0">
        <w:t xml:space="preserve"> euros, figura como una deuda transformable en subvenciones (Nota 13.2).</w:t>
      </w:r>
    </w:p>
    <w:p w14:paraId="1EC5B327" w14:textId="77777777" w:rsidR="001A7929" w:rsidRDefault="001A7929" w:rsidP="004D73A5"/>
    <w:p w14:paraId="16E58347" w14:textId="48C7E2AE" w:rsidR="004D73A5" w:rsidRPr="001A7929" w:rsidRDefault="000B2A4A" w:rsidP="004D73A5">
      <w:r w:rsidRPr="001A7929">
        <w:t xml:space="preserve">Con fecha </w:t>
      </w:r>
      <w:r w:rsidR="006F0DF0" w:rsidRPr="001A7929">
        <w:t>11</w:t>
      </w:r>
      <w:r w:rsidRPr="001A7929">
        <w:t xml:space="preserve"> de </w:t>
      </w:r>
      <w:r w:rsidR="006F0DF0" w:rsidRPr="001A7929">
        <w:t>agosto</w:t>
      </w:r>
      <w:r w:rsidRPr="001A7929">
        <w:t xml:space="preserve"> de 202</w:t>
      </w:r>
      <w:r w:rsidR="00FE502C" w:rsidRPr="001A7929">
        <w:t>3</w:t>
      </w:r>
      <w:r w:rsidRPr="001A7929">
        <w:t>, el Cabildo de Gran Canaria ha concedido una subvención nominada a la Sociedad, por importe total de 50.000 euros, para los gastos corrientes 202</w:t>
      </w:r>
      <w:r w:rsidR="00FE502C" w:rsidRPr="001A7929">
        <w:t>3</w:t>
      </w:r>
      <w:r w:rsidRPr="001A7929">
        <w:t>-202</w:t>
      </w:r>
      <w:r w:rsidR="00FE502C" w:rsidRPr="001A7929">
        <w:t>4</w:t>
      </w:r>
      <w:r w:rsidRPr="001A7929">
        <w:t xml:space="preserve"> que se deriven del proyecto </w:t>
      </w:r>
      <w:r w:rsidR="00164769">
        <w:t>“</w:t>
      </w:r>
      <w:r w:rsidRPr="001A7929">
        <w:t>V</w:t>
      </w:r>
      <w:r w:rsidRPr="001A7929">
        <w:rPr>
          <w:lang w:val="es-ES"/>
        </w:rPr>
        <w:t>alorización de las producciones locales</w:t>
      </w:r>
      <w:r w:rsidRPr="001A7929">
        <w:t xml:space="preserve"> de Gran Canaria</w:t>
      </w:r>
      <w:r w:rsidR="00164769">
        <w:t>”</w:t>
      </w:r>
      <w:r w:rsidRPr="001A7929">
        <w:t>, de los cuales en 202</w:t>
      </w:r>
      <w:r w:rsidR="001A7929" w:rsidRPr="001A7929">
        <w:t>4</w:t>
      </w:r>
      <w:r w:rsidRPr="001A7929">
        <w:t xml:space="preserve"> ha ejecutado </w:t>
      </w:r>
      <w:r w:rsidR="001A7929" w:rsidRPr="001A7929">
        <w:t>36.799,81 euros (13.200,19 euros en 2023)</w:t>
      </w:r>
      <w:r w:rsidR="00FE502C" w:rsidRPr="001A7929">
        <w:t>.</w:t>
      </w:r>
      <w:r w:rsidRPr="001A7929">
        <w:t xml:space="preserve"> </w:t>
      </w:r>
    </w:p>
    <w:p w14:paraId="03B3DCD6" w14:textId="2ACD092B" w:rsidR="00F84907" w:rsidRPr="001E7ADC" w:rsidRDefault="00F84907" w:rsidP="009621A3">
      <w:pPr>
        <w:rPr>
          <w:highlight w:val="yellow"/>
        </w:rPr>
      </w:pPr>
    </w:p>
    <w:p w14:paraId="4C7DFE6A" w14:textId="03B4BDF2" w:rsidR="001E5E89" w:rsidRPr="001A7929" w:rsidRDefault="00F84907" w:rsidP="001E5E89">
      <w:r w:rsidRPr="001A7929">
        <w:t xml:space="preserve">Con fecha </w:t>
      </w:r>
      <w:r w:rsidR="001E5E89" w:rsidRPr="001A7929">
        <w:t>11 de agosto de 2023, el Cabildo de Gran Canaria ha concedido una subvención nominada a la Sociedad, por importe total de 9.000 euros, para financiar la ejecución del proyecto denominado “Adquisición de maquinaria”. Del importe de la subvención, 622,46 euros han sido destinados a gastos y el resto, por importe de 8.377,54 euros a inversión en maquinaria, por lo que ha sido registrado como subvención de capital (Nota 12.2)</w:t>
      </w:r>
    </w:p>
    <w:p w14:paraId="4FC4EC68" w14:textId="77777777" w:rsidR="001E5E89" w:rsidRPr="001E7ADC" w:rsidRDefault="001E5E89" w:rsidP="001E5E89">
      <w:pPr>
        <w:rPr>
          <w:highlight w:val="yellow"/>
        </w:rPr>
      </w:pPr>
    </w:p>
    <w:p w14:paraId="6997CEF7" w14:textId="44B0A09D" w:rsidR="009340AD" w:rsidRPr="00C95FFC" w:rsidRDefault="00F84907" w:rsidP="009340AD">
      <w:r w:rsidRPr="00C95FFC">
        <w:t xml:space="preserve">Con fecha </w:t>
      </w:r>
      <w:r w:rsidR="00BA1E71" w:rsidRPr="00C95FFC">
        <w:t>27 de junio de 2023</w:t>
      </w:r>
      <w:r w:rsidRPr="00C95FFC">
        <w:t xml:space="preserve"> </w:t>
      </w:r>
      <w:r w:rsidR="00551182" w:rsidRPr="00C95FFC">
        <w:t xml:space="preserve">se le concede a la Sociedad una aportación dineraria para atender a los gastos derivados del incremento salarial del </w:t>
      </w:r>
      <w:r w:rsidR="009340AD" w:rsidRPr="00C95FFC">
        <w:t>2</w:t>
      </w:r>
      <w:r w:rsidR="00551182" w:rsidRPr="00C95FFC">
        <w:t>,5% adicional para el año 202</w:t>
      </w:r>
      <w:r w:rsidR="009340AD" w:rsidRPr="00C95FFC">
        <w:t>3</w:t>
      </w:r>
      <w:r w:rsidR="00551182" w:rsidRPr="00C95FFC">
        <w:t xml:space="preserve"> del personal que presta servicios en la entidad por importe de </w:t>
      </w:r>
      <w:r w:rsidR="00277E0D" w:rsidRPr="00C95FFC">
        <w:t>145.719,31</w:t>
      </w:r>
      <w:r w:rsidR="00551182" w:rsidRPr="00C95FFC">
        <w:t xml:space="preserve"> euros. El importe finalmente destinado al incremento fue </w:t>
      </w:r>
      <w:r w:rsidR="009340AD" w:rsidRPr="00C95FFC">
        <w:t>141.737,71</w:t>
      </w:r>
      <w:r w:rsidR="00551182" w:rsidRPr="00C95FFC">
        <w:t xml:space="preserve"> euros. </w:t>
      </w:r>
      <w:r w:rsidR="009340AD" w:rsidRPr="00C95FFC">
        <w:t>El resto</w:t>
      </w:r>
      <w:r w:rsidR="00277E0D" w:rsidRPr="00C95FFC">
        <w:t>,</w:t>
      </w:r>
      <w:r w:rsidR="009340AD" w:rsidRPr="00C95FFC">
        <w:t xml:space="preserve"> por importe de </w:t>
      </w:r>
      <w:r w:rsidR="00277E0D" w:rsidRPr="00C95FFC">
        <w:t>3.981,60</w:t>
      </w:r>
      <w:r w:rsidR="009340AD" w:rsidRPr="00C95FFC">
        <w:t xml:space="preserve"> euros, </w:t>
      </w:r>
      <w:r w:rsidR="0053021F">
        <w:t>ha sido reintegrado</w:t>
      </w:r>
      <w:r w:rsidR="009340AD" w:rsidRPr="00C95FFC">
        <w:t xml:space="preserve"> </w:t>
      </w:r>
      <w:r w:rsidR="000140E0">
        <w:t xml:space="preserve">en el año 2024 </w:t>
      </w:r>
      <w:r w:rsidR="009340AD" w:rsidRPr="00C95FFC">
        <w:t>(Nota 13.2).</w:t>
      </w:r>
    </w:p>
    <w:p w14:paraId="6D8D16C1" w14:textId="350710BB" w:rsidR="00F84907" w:rsidRPr="001E7ADC" w:rsidRDefault="00F84907" w:rsidP="00590082">
      <w:pPr>
        <w:rPr>
          <w:highlight w:val="yellow"/>
        </w:rPr>
      </w:pPr>
    </w:p>
    <w:p w14:paraId="63C34E2A" w14:textId="35052AFF" w:rsidR="006D0AE5" w:rsidRPr="00623FCD" w:rsidRDefault="006D0AE5" w:rsidP="006D0AE5">
      <w:pPr>
        <w:rPr>
          <w:iCs/>
        </w:rPr>
      </w:pPr>
      <w:r w:rsidRPr="00623FCD">
        <w:rPr>
          <w:lang w:val="es-ES"/>
        </w:rPr>
        <w:t xml:space="preserve">Con fecha 12 de junio de 2019, la Sociedad recibe notificación de la Viceconsejería de Economía y Asuntos Económicos con la Unión Europea del Gobierno de Canarias, como </w:t>
      </w:r>
      <w:r w:rsidRPr="00623FCD">
        <w:rPr>
          <w:iCs/>
        </w:rPr>
        <w:t xml:space="preserve">Autoridad de Gestión del Programa INTERREG V MAC 2014-2020, en la que se comunica que se aprueba el proyecto identificado con el acrónimo CUARENTAGRI y el código MAC2/1.1a/231, presentado por la Sociedad, como jefe de filas, con un montante total de Ayuda FEDER de 1.150.457,55 euros y cuya fecha de finalización es el 31 de agosto de 2022. </w:t>
      </w:r>
      <w:bookmarkStart w:id="45" w:name="_Hlk127448786"/>
      <w:r w:rsidR="006D0218" w:rsidRPr="00623FCD">
        <w:t xml:space="preserve">Con fecha </w:t>
      </w:r>
      <w:r w:rsidR="002D3869" w:rsidRPr="00623FCD">
        <w:t>7</w:t>
      </w:r>
      <w:r w:rsidR="006D0218" w:rsidRPr="00623FCD">
        <w:t xml:space="preserve"> de ma</w:t>
      </w:r>
      <w:r w:rsidR="002D3869" w:rsidRPr="00623FCD">
        <w:t>rz</w:t>
      </w:r>
      <w:r w:rsidR="006D0218" w:rsidRPr="00623FCD">
        <w:t>o de 202</w:t>
      </w:r>
      <w:r w:rsidR="002D3869" w:rsidRPr="00623FCD">
        <w:t>2</w:t>
      </w:r>
      <w:r w:rsidR="006D0218" w:rsidRPr="00623FCD">
        <w:t xml:space="preserve"> se concede una prórroga hasta el 3</w:t>
      </w:r>
      <w:r w:rsidR="004240BB" w:rsidRPr="00623FCD">
        <w:t>1</w:t>
      </w:r>
      <w:r w:rsidR="006D0218" w:rsidRPr="00623FCD">
        <w:t xml:space="preserve"> de </w:t>
      </w:r>
      <w:r w:rsidR="004240BB" w:rsidRPr="00623FCD">
        <w:t xml:space="preserve">agosto </w:t>
      </w:r>
      <w:r w:rsidR="006D0218" w:rsidRPr="00623FCD">
        <w:t>de 202</w:t>
      </w:r>
      <w:r w:rsidR="004240BB" w:rsidRPr="00623FCD">
        <w:t>3</w:t>
      </w:r>
      <w:r w:rsidR="006D0218" w:rsidRPr="00623FCD">
        <w:t xml:space="preserve"> para la ejecución de la subvención.</w:t>
      </w:r>
      <w:r w:rsidR="006D0218" w:rsidRPr="00623FCD">
        <w:rPr>
          <w:iCs/>
        </w:rPr>
        <w:t xml:space="preserve"> </w:t>
      </w:r>
      <w:bookmarkEnd w:id="45"/>
      <w:r w:rsidRPr="00623FCD">
        <w:rPr>
          <w:iCs/>
        </w:rPr>
        <w:t xml:space="preserve">A la Sociedad le corresponde 283.560,91 </w:t>
      </w:r>
      <w:bookmarkStart w:id="46" w:name="_Hlk34138596"/>
      <w:r w:rsidRPr="00623FCD">
        <w:rPr>
          <w:iCs/>
        </w:rPr>
        <w:t>euros, de los cuales a 31 de diciembre de 20</w:t>
      </w:r>
      <w:r w:rsidR="00854E4F" w:rsidRPr="00623FCD">
        <w:rPr>
          <w:iCs/>
        </w:rPr>
        <w:t>2</w:t>
      </w:r>
      <w:r w:rsidR="004A089E" w:rsidRPr="00623FCD">
        <w:rPr>
          <w:iCs/>
        </w:rPr>
        <w:t>3</w:t>
      </w:r>
      <w:r w:rsidRPr="00623FCD">
        <w:rPr>
          <w:iCs/>
        </w:rPr>
        <w:t xml:space="preserve"> </w:t>
      </w:r>
      <w:r w:rsidR="00854E4F" w:rsidRPr="00623FCD">
        <w:rPr>
          <w:iCs/>
        </w:rPr>
        <w:t>s</w:t>
      </w:r>
      <w:r w:rsidRPr="00623FCD">
        <w:rPr>
          <w:iCs/>
        </w:rPr>
        <w:t xml:space="preserve">e </w:t>
      </w:r>
      <w:r w:rsidR="000140E0">
        <w:rPr>
          <w:iCs/>
        </w:rPr>
        <w:t>ejecutaron</w:t>
      </w:r>
      <w:r w:rsidRPr="00623FCD">
        <w:rPr>
          <w:iCs/>
        </w:rPr>
        <w:t xml:space="preserve"> </w:t>
      </w:r>
      <w:bookmarkStart w:id="47" w:name="_Hlk159326243"/>
      <w:bookmarkStart w:id="48" w:name="_Hlk127448171"/>
      <w:r w:rsidR="00BA62F9" w:rsidRPr="00623FCD">
        <w:rPr>
          <w:iCs/>
        </w:rPr>
        <w:t>286.822,91</w:t>
      </w:r>
      <w:r w:rsidR="00305E89" w:rsidRPr="00623FCD">
        <w:rPr>
          <w:iCs/>
        </w:rPr>
        <w:t xml:space="preserve"> </w:t>
      </w:r>
      <w:bookmarkEnd w:id="47"/>
      <w:r w:rsidR="00854E4F" w:rsidRPr="00623FCD">
        <w:rPr>
          <w:iCs/>
        </w:rPr>
        <w:t xml:space="preserve">euros </w:t>
      </w:r>
      <w:bookmarkEnd w:id="48"/>
      <w:r w:rsidR="00854E4F" w:rsidRPr="00623FCD">
        <w:rPr>
          <w:iCs/>
        </w:rPr>
        <w:t>(</w:t>
      </w:r>
      <w:r w:rsidR="00BA62F9" w:rsidRPr="00623FCD">
        <w:rPr>
          <w:iCs/>
        </w:rPr>
        <w:t xml:space="preserve">265.257,74 </w:t>
      </w:r>
      <w:r w:rsidR="00305E89" w:rsidRPr="00623FCD">
        <w:rPr>
          <w:iCs/>
        </w:rPr>
        <w:t xml:space="preserve">euros </w:t>
      </w:r>
      <w:r w:rsidR="00854E4F" w:rsidRPr="00623FCD">
        <w:rPr>
          <w:iCs/>
        </w:rPr>
        <w:t>a 31 de diciembre de 20</w:t>
      </w:r>
      <w:r w:rsidR="0070738C" w:rsidRPr="00623FCD">
        <w:rPr>
          <w:iCs/>
        </w:rPr>
        <w:t>2</w:t>
      </w:r>
      <w:r w:rsidR="00BA62F9" w:rsidRPr="00623FCD">
        <w:rPr>
          <w:iCs/>
        </w:rPr>
        <w:t>2</w:t>
      </w:r>
      <w:r w:rsidR="0070738C" w:rsidRPr="00623FCD">
        <w:rPr>
          <w:iCs/>
        </w:rPr>
        <w:t>)</w:t>
      </w:r>
      <w:r w:rsidR="00BA62F9" w:rsidRPr="00623FCD">
        <w:rPr>
          <w:iCs/>
        </w:rPr>
        <w:t>, quedando finalizado este proyecto.</w:t>
      </w:r>
    </w:p>
    <w:bookmarkEnd w:id="46"/>
    <w:p w14:paraId="569A8A62" w14:textId="77777777" w:rsidR="0015337A" w:rsidRPr="00623FCD" w:rsidRDefault="0015337A" w:rsidP="00B15952"/>
    <w:p w14:paraId="01BBA560" w14:textId="06C10C57" w:rsidR="006D0AE5" w:rsidRPr="00623FCD" w:rsidRDefault="006D0AE5" w:rsidP="006D0AE5">
      <w:pPr>
        <w:rPr>
          <w:iCs/>
        </w:rPr>
      </w:pPr>
      <w:r w:rsidRPr="00623FCD">
        <w:rPr>
          <w:iCs/>
        </w:rPr>
        <w:t xml:space="preserve">Con fecha 12 de junio de 2019 la Sociedad recibe notificación del Director General de Asuntos Europeos del Gobierno de Canarias, en calidad de representante de la Autoridad de Gestión del Programa de Cooperación INTERREG V-A MAC 2014-2020, en la que se comunica que el Comité de Gestión del Programa, ha aprobado el proyecto identificado con el acrónimo MIMAR+ y el código MAC2/4.6d/249, presentado por la Viceconsejería de Lucha contra el Cambio Climático del Gobierno de Canarias, en calidad de Beneficiario principal del proyecto, siendo la Sociedad el socio número 10 del mismo. El montante de Ayuda FEDER es de 1.707.444,60 euros, siendo la fecha de finalización el </w:t>
      </w:r>
      <w:r w:rsidRPr="00623FCD">
        <w:rPr>
          <w:iCs/>
        </w:rPr>
        <w:lastRenderedPageBreak/>
        <w:t xml:space="preserve">día 31 de octubre de 2022. </w:t>
      </w:r>
      <w:r w:rsidR="00D87986" w:rsidRPr="00623FCD">
        <w:t xml:space="preserve">Con fecha </w:t>
      </w:r>
      <w:r w:rsidR="004240BB" w:rsidRPr="00623FCD">
        <w:t>17</w:t>
      </w:r>
      <w:r w:rsidR="00D87986" w:rsidRPr="00623FCD">
        <w:t xml:space="preserve"> de ma</w:t>
      </w:r>
      <w:r w:rsidR="004240BB" w:rsidRPr="00623FCD">
        <w:t>rz</w:t>
      </w:r>
      <w:r w:rsidR="00D87986" w:rsidRPr="00623FCD">
        <w:t>o de 202</w:t>
      </w:r>
      <w:r w:rsidR="004240BB" w:rsidRPr="00623FCD">
        <w:t>2</w:t>
      </w:r>
      <w:r w:rsidR="00D87986" w:rsidRPr="00623FCD">
        <w:t xml:space="preserve"> se concede una prórroga hasta el 3</w:t>
      </w:r>
      <w:r w:rsidR="004240BB" w:rsidRPr="00623FCD">
        <w:t>1</w:t>
      </w:r>
      <w:r w:rsidR="00D87986" w:rsidRPr="00623FCD">
        <w:t xml:space="preserve"> de </w:t>
      </w:r>
      <w:r w:rsidR="004240BB" w:rsidRPr="00623FCD">
        <w:t>octubre</w:t>
      </w:r>
      <w:r w:rsidR="00D87986" w:rsidRPr="00623FCD">
        <w:t xml:space="preserve"> de 202</w:t>
      </w:r>
      <w:r w:rsidR="004240BB" w:rsidRPr="00623FCD">
        <w:t>3</w:t>
      </w:r>
      <w:r w:rsidR="00D87986" w:rsidRPr="00623FCD">
        <w:t xml:space="preserve"> para la ejecución de la subvención.</w:t>
      </w:r>
      <w:r w:rsidR="00D87986" w:rsidRPr="00623FCD">
        <w:rPr>
          <w:iCs/>
        </w:rPr>
        <w:t xml:space="preserve"> </w:t>
      </w:r>
      <w:r w:rsidRPr="00623FCD">
        <w:rPr>
          <w:iCs/>
        </w:rPr>
        <w:t xml:space="preserve">A la Sociedad le corresponden 102.796,80 </w:t>
      </w:r>
      <w:bookmarkStart w:id="49" w:name="_Hlk34138621"/>
      <w:r w:rsidRPr="00623FCD">
        <w:rPr>
          <w:iCs/>
        </w:rPr>
        <w:t>euros, de los cuales a 31 de diciembre de 20</w:t>
      </w:r>
      <w:r w:rsidR="00854E4F" w:rsidRPr="00623FCD">
        <w:rPr>
          <w:iCs/>
        </w:rPr>
        <w:t>2</w:t>
      </w:r>
      <w:r w:rsidR="00BA62F9" w:rsidRPr="00623FCD">
        <w:rPr>
          <w:iCs/>
        </w:rPr>
        <w:t>3</w:t>
      </w:r>
      <w:r w:rsidR="008C2294" w:rsidRPr="00623FCD">
        <w:rPr>
          <w:iCs/>
        </w:rPr>
        <w:t xml:space="preserve"> </w:t>
      </w:r>
      <w:r w:rsidR="00675260" w:rsidRPr="00623FCD">
        <w:rPr>
          <w:iCs/>
        </w:rPr>
        <w:t>s</w:t>
      </w:r>
      <w:r w:rsidR="008C2294" w:rsidRPr="00623FCD">
        <w:rPr>
          <w:iCs/>
        </w:rPr>
        <w:t xml:space="preserve">e </w:t>
      </w:r>
      <w:r w:rsidR="000140E0">
        <w:rPr>
          <w:iCs/>
        </w:rPr>
        <w:t>e</w:t>
      </w:r>
      <w:r w:rsidR="008C2294" w:rsidRPr="00623FCD">
        <w:rPr>
          <w:iCs/>
        </w:rPr>
        <w:t>jecuta</w:t>
      </w:r>
      <w:r w:rsidR="000140E0">
        <w:rPr>
          <w:iCs/>
        </w:rPr>
        <w:t>ron</w:t>
      </w:r>
      <w:r w:rsidR="008C2294" w:rsidRPr="00623FCD">
        <w:rPr>
          <w:iCs/>
        </w:rPr>
        <w:t xml:space="preserve"> </w:t>
      </w:r>
      <w:r w:rsidR="00BA62F9" w:rsidRPr="00623FCD">
        <w:rPr>
          <w:iCs/>
        </w:rPr>
        <w:t>62.770,21</w:t>
      </w:r>
      <w:r w:rsidR="00877B5A" w:rsidRPr="00623FCD">
        <w:rPr>
          <w:iCs/>
        </w:rPr>
        <w:t xml:space="preserve"> euros (</w:t>
      </w:r>
      <w:r w:rsidR="00BA62F9" w:rsidRPr="00623FCD">
        <w:rPr>
          <w:iCs/>
        </w:rPr>
        <w:t xml:space="preserve">36.280,10 euros </w:t>
      </w:r>
      <w:r w:rsidR="00877B5A" w:rsidRPr="00623FCD">
        <w:rPr>
          <w:iCs/>
        </w:rPr>
        <w:t>a 31 de diciembre de 202</w:t>
      </w:r>
      <w:r w:rsidR="00BA62F9" w:rsidRPr="00623FCD">
        <w:rPr>
          <w:iCs/>
        </w:rPr>
        <w:t>2</w:t>
      </w:r>
      <w:r w:rsidR="00877B5A" w:rsidRPr="00623FCD">
        <w:rPr>
          <w:iCs/>
        </w:rPr>
        <w:t>)</w:t>
      </w:r>
      <w:r w:rsidR="00BA62F9" w:rsidRPr="00623FCD">
        <w:rPr>
          <w:iCs/>
        </w:rPr>
        <w:t>, quedando finalizado el proyecto.</w:t>
      </w:r>
    </w:p>
    <w:bookmarkEnd w:id="49"/>
    <w:p w14:paraId="16C40A33" w14:textId="77777777" w:rsidR="006D0AE5" w:rsidRPr="00623FCD" w:rsidRDefault="006D0AE5" w:rsidP="006D0AE5">
      <w:pPr>
        <w:rPr>
          <w:iCs/>
        </w:rPr>
      </w:pPr>
    </w:p>
    <w:p w14:paraId="79C81474" w14:textId="22E4737D" w:rsidR="006D0AE5" w:rsidRPr="007C6506" w:rsidRDefault="006D0AE5" w:rsidP="006D0AE5">
      <w:pPr>
        <w:rPr>
          <w:rFonts w:cs="Arial"/>
          <w:szCs w:val="20"/>
        </w:rPr>
      </w:pPr>
      <w:r w:rsidRPr="00623FCD">
        <w:rPr>
          <w:rFonts w:cs="Arial"/>
          <w:szCs w:val="20"/>
        </w:rPr>
        <w:t xml:space="preserve">Con fecha 12 de junio de 2019 la Sociedad recibe notificación del Director General de Asuntos Europeos del Gobierno de Canarias, en calidad de representante de la Autoridad de Gestión del Programa de Cooperación INTERREG V-A MAC 2014-2020, en la que se comunica que el Comité de Gestión del Programa, ha aprobado el proyecto identificado con el acrónimo PLASMAR+ y el código MAC2/1.1a/347, presentado por la Universidad de Las Palmas de Gran Canaria, en calidad de Beneficiario principal del proyecto, siendo la Sociedad el socio número 4 del mismo. El montante de Ayuda FEDER es de 816.656,94 euros, siendo la fecha de finalización el día 30 de noviembre de 2022. </w:t>
      </w:r>
      <w:r w:rsidR="00D87986" w:rsidRPr="00623FCD">
        <w:rPr>
          <w:rFonts w:cs="Arial"/>
          <w:szCs w:val="20"/>
        </w:rPr>
        <w:t xml:space="preserve">Con fecha </w:t>
      </w:r>
      <w:r w:rsidR="004240BB" w:rsidRPr="00623FCD">
        <w:rPr>
          <w:rFonts w:cs="Arial"/>
          <w:szCs w:val="20"/>
        </w:rPr>
        <w:t>4</w:t>
      </w:r>
      <w:r w:rsidR="00D87986" w:rsidRPr="00623FCD">
        <w:rPr>
          <w:rFonts w:cs="Arial"/>
          <w:szCs w:val="20"/>
        </w:rPr>
        <w:t xml:space="preserve"> de </w:t>
      </w:r>
      <w:r w:rsidR="004240BB" w:rsidRPr="00623FCD">
        <w:rPr>
          <w:rFonts w:cs="Arial"/>
          <w:szCs w:val="20"/>
        </w:rPr>
        <w:t>juli</w:t>
      </w:r>
      <w:r w:rsidR="00D87986" w:rsidRPr="00623FCD">
        <w:rPr>
          <w:rFonts w:cs="Arial"/>
          <w:szCs w:val="20"/>
        </w:rPr>
        <w:t>o de 202</w:t>
      </w:r>
      <w:r w:rsidR="004240BB" w:rsidRPr="00623FCD">
        <w:rPr>
          <w:rFonts w:cs="Arial"/>
          <w:szCs w:val="20"/>
        </w:rPr>
        <w:t>2</w:t>
      </w:r>
      <w:r w:rsidR="00D87986" w:rsidRPr="00623FCD">
        <w:rPr>
          <w:rFonts w:cs="Arial"/>
          <w:szCs w:val="20"/>
        </w:rPr>
        <w:t xml:space="preserve"> se concede una prórroga hasta el 30 de </w:t>
      </w:r>
      <w:r w:rsidR="004240BB" w:rsidRPr="00623FCD">
        <w:rPr>
          <w:rFonts w:cs="Arial"/>
          <w:szCs w:val="20"/>
        </w:rPr>
        <w:t>novie</w:t>
      </w:r>
      <w:r w:rsidR="00D87986" w:rsidRPr="00623FCD">
        <w:rPr>
          <w:rFonts w:cs="Arial"/>
          <w:szCs w:val="20"/>
        </w:rPr>
        <w:t>mbre de 202</w:t>
      </w:r>
      <w:r w:rsidR="004240BB" w:rsidRPr="00623FCD">
        <w:rPr>
          <w:rFonts w:cs="Arial"/>
          <w:szCs w:val="20"/>
        </w:rPr>
        <w:t>3</w:t>
      </w:r>
      <w:r w:rsidR="00D87986" w:rsidRPr="00623FCD">
        <w:rPr>
          <w:rFonts w:cs="Arial"/>
          <w:szCs w:val="20"/>
        </w:rPr>
        <w:t xml:space="preserve"> para la ejecución de la subvención.</w:t>
      </w:r>
      <w:r w:rsidR="00D87986" w:rsidRPr="00623FCD">
        <w:rPr>
          <w:rFonts w:cs="Arial"/>
          <w:iCs/>
          <w:szCs w:val="20"/>
        </w:rPr>
        <w:t xml:space="preserve"> </w:t>
      </w:r>
      <w:r w:rsidRPr="00623FCD">
        <w:rPr>
          <w:rFonts w:cs="Arial"/>
          <w:szCs w:val="20"/>
        </w:rPr>
        <w:t xml:space="preserve">A la Sociedad le corresponden 69.099,08 euros, de los cuales </w:t>
      </w:r>
      <w:r w:rsidR="00854E4F" w:rsidRPr="00623FCD">
        <w:rPr>
          <w:rFonts w:cs="Arial"/>
          <w:szCs w:val="20"/>
        </w:rPr>
        <w:t>a 31 de diciembre de 202</w:t>
      </w:r>
      <w:r w:rsidR="00832E05" w:rsidRPr="00623FCD">
        <w:rPr>
          <w:rFonts w:cs="Arial"/>
          <w:szCs w:val="20"/>
        </w:rPr>
        <w:t>3</w:t>
      </w:r>
      <w:r w:rsidR="00854E4F" w:rsidRPr="00623FCD">
        <w:rPr>
          <w:rFonts w:cs="Arial"/>
          <w:szCs w:val="20"/>
        </w:rPr>
        <w:t xml:space="preserve"> se ejecuta</w:t>
      </w:r>
      <w:r w:rsidR="000140E0">
        <w:rPr>
          <w:rFonts w:cs="Arial"/>
          <w:szCs w:val="20"/>
        </w:rPr>
        <w:t>ron</w:t>
      </w:r>
      <w:r w:rsidR="00854E4F" w:rsidRPr="00623FCD">
        <w:rPr>
          <w:rFonts w:cs="Arial"/>
          <w:szCs w:val="20"/>
        </w:rPr>
        <w:t xml:space="preserve"> </w:t>
      </w:r>
      <w:r w:rsidR="00832E05" w:rsidRPr="00623FCD">
        <w:rPr>
          <w:rFonts w:cs="Arial"/>
          <w:szCs w:val="20"/>
        </w:rPr>
        <w:t>56.555,91</w:t>
      </w:r>
      <w:r w:rsidR="00453A6D" w:rsidRPr="00623FCD">
        <w:rPr>
          <w:rFonts w:cs="Arial"/>
          <w:szCs w:val="20"/>
        </w:rPr>
        <w:t xml:space="preserve"> euros (</w:t>
      </w:r>
      <w:r w:rsidR="00832E05" w:rsidRPr="00623FCD">
        <w:rPr>
          <w:rFonts w:cs="Arial"/>
          <w:szCs w:val="20"/>
        </w:rPr>
        <w:t>28.443,24 euros</w:t>
      </w:r>
      <w:r w:rsidR="00675260" w:rsidRPr="00623FCD">
        <w:rPr>
          <w:rFonts w:cs="Arial"/>
          <w:szCs w:val="20"/>
        </w:rPr>
        <w:t xml:space="preserve"> </w:t>
      </w:r>
      <w:r w:rsidRPr="00623FCD">
        <w:rPr>
          <w:rFonts w:cs="Arial"/>
          <w:szCs w:val="20"/>
        </w:rPr>
        <w:t>a 31 de diciembre de 20</w:t>
      </w:r>
      <w:r w:rsidR="00675260" w:rsidRPr="00623FCD">
        <w:rPr>
          <w:rFonts w:cs="Arial"/>
          <w:szCs w:val="20"/>
        </w:rPr>
        <w:t>2</w:t>
      </w:r>
      <w:r w:rsidR="00832E05" w:rsidRPr="00623FCD">
        <w:rPr>
          <w:rFonts w:cs="Arial"/>
          <w:szCs w:val="20"/>
        </w:rPr>
        <w:t>2</w:t>
      </w:r>
      <w:r w:rsidR="00854E4F" w:rsidRPr="00623FCD">
        <w:rPr>
          <w:rFonts w:cs="Arial"/>
          <w:szCs w:val="20"/>
        </w:rPr>
        <w:t>)</w:t>
      </w:r>
      <w:r w:rsidR="00832E05" w:rsidRPr="00623FCD">
        <w:rPr>
          <w:rFonts w:cs="Arial"/>
          <w:szCs w:val="20"/>
        </w:rPr>
        <w:t>, quedando finalizado el proyecto.</w:t>
      </w:r>
    </w:p>
    <w:p w14:paraId="0BC59364" w14:textId="77777777" w:rsidR="006D0AE5" w:rsidRDefault="006D0AE5" w:rsidP="00B15952"/>
    <w:p w14:paraId="57EA395F" w14:textId="77777777" w:rsidR="001F6EF3" w:rsidRPr="00DF3114" w:rsidRDefault="001F6EF3" w:rsidP="00C80216">
      <w:pPr>
        <w:rPr>
          <w:rFonts w:cs="Arial"/>
          <w:b/>
          <w:szCs w:val="20"/>
        </w:rPr>
      </w:pPr>
      <w:r w:rsidRPr="00DF3114">
        <w:rPr>
          <w:rFonts w:cs="Arial"/>
          <w:b/>
          <w:szCs w:val="20"/>
        </w:rPr>
        <w:t>1</w:t>
      </w:r>
      <w:r w:rsidR="004B6895" w:rsidRPr="00DF3114">
        <w:rPr>
          <w:rFonts w:cs="Arial"/>
          <w:b/>
          <w:szCs w:val="20"/>
        </w:rPr>
        <w:t>2</w:t>
      </w:r>
      <w:r w:rsidRPr="00DF3114">
        <w:rPr>
          <w:rFonts w:cs="Arial"/>
          <w:b/>
          <w:szCs w:val="20"/>
        </w:rPr>
        <w:t>.2</w:t>
      </w:r>
      <w:r w:rsidRPr="00DF3114">
        <w:rPr>
          <w:rFonts w:cs="Arial"/>
          <w:b/>
          <w:szCs w:val="20"/>
        </w:rPr>
        <w:tab/>
        <w:t>Subvenciones de capital</w:t>
      </w:r>
    </w:p>
    <w:p w14:paraId="4FA7CBCD" w14:textId="77777777" w:rsidR="001F6EF3" w:rsidRPr="00DF3114" w:rsidRDefault="001F6EF3" w:rsidP="00C80216">
      <w:pPr>
        <w:rPr>
          <w:rFonts w:cs="Arial"/>
          <w:b/>
          <w:szCs w:val="20"/>
        </w:rPr>
      </w:pPr>
    </w:p>
    <w:p w14:paraId="0D623EE4" w14:textId="4255EC31" w:rsidR="00F7249A" w:rsidRPr="00623FCD" w:rsidRDefault="005129D9" w:rsidP="00F7249A">
      <w:r w:rsidRPr="00623FCD">
        <w:t>La Sociedad recibió en 2023</w:t>
      </w:r>
      <w:r w:rsidR="00F7249A" w:rsidRPr="00623FCD">
        <w:t xml:space="preserve"> </w:t>
      </w:r>
      <w:r w:rsidRPr="00623FCD">
        <w:t>d</w:t>
      </w:r>
      <w:r w:rsidR="00F7249A" w:rsidRPr="00623FCD">
        <w:t xml:space="preserve">el Cabildo de Gran Canaria </w:t>
      </w:r>
      <w:r w:rsidRPr="00623FCD">
        <w:t>u</w:t>
      </w:r>
      <w:r w:rsidR="00F7249A" w:rsidRPr="00623FCD">
        <w:t>na subvención nomina</w:t>
      </w:r>
      <w:r w:rsidR="002A401D" w:rsidRPr="00623FCD">
        <w:t>tiva</w:t>
      </w:r>
      <w:r w:rsidR="00F7249A" w:rsidRPr="00623FCD">
        <w:t xml:space="preserve">, por importe total de 9.000 euros, para financiar la ejecución del proyecto denominado “Adquisición de maquinaria”. Del importe de la subvención, 622,46 euros han sido destinados a </w:t>
      </w:r>
      <w:r w:rsidRPr="00623FCD">
        <w:t xml:space="preserve">consumibles, registrándose como subvención de explotación (Nota 12.1) </w:t>
      </w:r>
      <w:r w:rsidR="00F7249A" w:rsidRPr="00623FCD">
        <w:t xml:space="preserve">y el resto por importe de 8.377,54 euros a inversión en maquinaria, </w:t>
      </w:r>
      <w:r w:rsidRPr="00623FCD">
        <w:t>aplicándose en 2023 a su finalidad.</w:t>
      </w:r>
    </w:p>
    <w:p w14:paraId="3E74398E" w14:textId="77777777" w:rsidR="00F7249A" w:rsidRPr="00623FCD" w:rsidRDefault="00F7249A" w:rsidP="00F7249A"/>
    <w:p w14:paraId="4C0536DD" w14:textId="560B78CE" w:rsidR="00C961E5" w:rsidRPr="00623FCD" w:rsidRDefault="001F6EF3" w:rsidP="00C80216">
      <w:pPr>
        <w:rPr>
          <w:rFonts w:cs="Arial"/>
          <w:szCs w:val="20"/>
        </w:rPr>
      </w:pPr>
      <w:r w:rsidRPr="00623FCD">
        <w:rPr>
          <w:rFonts w:cs="Arial"/>
          <w:szCs w:val="20"/>
        </w:rPr>
        <w:t>La Sociedad</w:t>
      </w:r>
      <w:r w:rsidR="00351EF2" w:rsidRPr="00623FCD">
        <w:rPr>
          <w:rFonts w:cs="Arial"/>
          <w:szCs w:val="20"/>
        </w:rPr>
        <w:t xml:space="preserve"> recibió </w:t>
      </w:r>
      <w:r w:rsidR="008C11DB" w:rsidRPr="00623FCD">
        <w:rPr>
          <w:rFonts w:cs="Arial"/>
          <w:szCs w:val="20"/>
        </w:rPr>
        <w:t xml:space="preserve">en 2016 </w:t>
      </w:r>
      <w:r w:rsidR="00351EF2" w:rsidRPr="00623FCD">
        <w:rPr>
          <w:rFonts w:cs="Arial"/>
          <w:szCs w:val="20"/>
        </w:rPr>
        <w:t xml:space="preserve">una subvención </w:t>
      </w:r>
      <w:r w:rsidR="008C11DB" w:rsidRPr="00623FCD">
        <w:rPr>
          <w:rFonts w:cs="Arial"/>
          <w:szCs w:val="20"/>
        </w:rPr>
        <w:t>nominativa anticipada</w:t>
      </w:r>
      <w:r w:rsidR="008E28EE" w:rsidRPr="00623FCD">
        <w:rPr>
          <w:rFonts w:cs="Arial"/>
          <w:szCs w:val="20"/>
        </w:rPr>
        <w:t xml:space="preserve"> </w:t>
      </w:r>
      <w:r w:rsidR="008C11DB" w:rsidRPr="00623FCD">
        <w:rPr>
          <w:rFonts w:cs="Arial"/>
          <w:szCs w:val="20"/>
        </w:rPr>
        <w:t>del Cabildo de Tenerife, por un importe total de 49.900 euros</w:t>
      </w:r>
      <w:r w:rsidR="002806A7" w:rsidRPr="00623FCD">
        <w:rPr>
          <w:rFonts w:cs="Arial"/>
          <w:szCs w:val="20"/>
        </w:rPr>
        <w:t xml:space="preserve"> (Nota 6.1)</w:t>
      </w:r>
      <w:r w:rsidR="008C11DB" w:rsidRPr="00623FCD">
        <w:rPr>
          <w:rFonts w:cs="Arial"/>
          <w:szCs w:val="20"/>
        </w:rPr>
        <w:t>, destinada a la realización de la obra de montaje de una cámara de tratamiento cu</w:t>
      </w:r>
      <w:r w:rsidR="008E28EE" w:rsidRPr="00623FCD">
        <w:rPr>
          <w:rFonts w:cs="Arial"/>
          <w:szCs w:val="20"/>
        </w:rPr>
        <w:t>arentenario de polilla de papas, aplicándola en 2017 en la finalidad para la que se otorgó.</w:t>
      </w:r>
    </w:p>
    <w:p w14:paraId="624A65A6" w14:textId="77777777" w:rsidR="00B236B1" w:rsidRPr="001E7ADC" w:rsidRDefault="00B236B1" w:rsidP="008C2808">
      <w:pPr>
        <w:jc w:val="center"/>
        <w:rPr>
          <w:highlight w:val="yellow"/>
        </w:rPr>
      </w:pPr>
    </w:p>
    <w:bookmarkStart w:id="50" w:name="_MON_1612094099"/>
    <w:bookmarkEnd w:id="50"/>
    <w:p w14:paraId="5B2A7542" w14:textId="59E5B816" w:rsidR="002806A7" w:rsidRDefault="002938FF" w:rsidP="008C2808">
      <w:pPr>
        <w:jc w:val="center"/>
      </w:pPr>
      <w:r w:rsidRPr="002938FF">
        <w:object w:dxaOrig="8076" w:dyaOrig="2344" w14:anchorId="59B6D9BB">
          <v:shape id="_x0000_i1043" type="#_x0000_t75" style="width:381.5pt;height:120.6pt" o:ole="">
            <v:imagedata r:id="rId54" o:title=""/>
          </v:shape>
          <o:OLEObject Type="Embed" ProgID="Excel.Sheet.8" ShapeID="_x0000_i1043" DrawAspect="Content" ObjectID="_1805087277" r:id="rId55"/>
        </w:object>
      </w:r>
    </w:p>
    <w:p w14:paraId="3B5F62A4" w14:textId="77777777" w:rsidR="00870C26" w:rsidRDefault="00870C26" w:rsidP="008C2808">
      <w:pPr>
        <w:jc w:val="center"/>
      </w:pPr>
    </w:p>
    <w:p w14:paraId="7321A129" w14:textId="77777777" w:rsidR="00446788" w:rsidRDefault="00446788" w:rsidP="00B23249">
      <w:pPr>
        <w:rPr>
          <w:b/>
          <w:color w:val="FF0000"/>
        </w:rPr>
      </w:pPr>
    </w:p>
    <w:p w14:paraId="0BF9D52B" w14:textId="77777777" w:rsidR="00352ED5" w:rsidRPr="00E478FA" w:rsidRDefault="00331554" w:rsidP="00FD68BB">
      <w:pPr>
        <w:spacing w:before="240"/>
        <w:jc w:val="left"/>
        <w:rPr>
          <w:rFonts w:cs="Arial"/>
          <w:b/>
          <w:caps/>
        </w:rPr>
      </w:pPr>
      <w:r w:rsidRPr="00E478FA">
        <w:rPr>
          <w:rFonts w:cs="Arial"/>
          <w:b/>
        </w:rPr>
        <w:t>1</w:t>
      </w:r>
      <w:r w:rsidR="00560402" w:rsidRPr="00E478FA">
        <w:rPr>
          <w:rFonts w:cs="Arial"/>
          <w:b/>
        </w:rPr>
        <w:t>3</w:t>
      </w:r>
      <w:r w:rsidR="00352ED5" w:rsidRPr="00E478FA">
        <w:rPr>
          <w:rFonts w:cs="Arial"/>
          <w:b/>
        </w:rPr>
        <w:t>.</w:t>
      </w:r>
      <w:r w:rsidR="00352ED5" w:rsidRPr="00E478FA">
        <w:rPr>
          <w:rFonts w:cs="Arial"/>
          <w:b/>
        </w:rPr>
        <w:tab/>
      </w:r>
      <w:r w:rsidR="00352ED5" w:rsidRPr="00E478FA">
        <w:rPr>
          <w:rFonts w:cs="Arial"/>
          <w:b/>
          <w:caps/>
        </w:rPr>
        <w:t>Pasivos financieros</w:t>
      </w:r>
    </w:p>
    <w:p w14:paraId="0A7386B3" w14:textId="51AA741D" w:rsidR="001928FF" w:rsidRDefault="00352ED5" w:rsidP="00352ED5">
      <w:pPr>
        <w:widowControl w:val="0"/>
        <w:autoSpaceDE w:val="0"/>
        <w:autoSpaceDN w:val="0"/>
        <w:adjustRightInd w:val="0"/>
        <w:spacing w:before="240"/>
        <w:rPr>
          <w:rFonts w:cs="Arial"/>
        </w:rPr>
      </w:pPr>
      <w:r w:rsidRPr="00E478FA">
        <w:rPr>
          <w:rFonts w:cs="Arial"/>
        </w:rPr>
        <w:t>La composición de los pasivos financieros al 31 de diciembre</w:t>
      </w:r>
      <w:r w:rsidRPr="00297DE0">
        <w:rPr>
          <w:rFonts w:cs="Arial"/>
        </w:rPr>
        <w:t xml:space="preserve"> es la siguiente:</w:t>
      </w:r>
    </w:p>
    <w:p w14:paraId="0D033DB9" w14:textId="5A71A000" w:rsidR="00101909" w:rsidRDefault="00101909" w:rsidP="00E22975">
      <w:pPr>
        <w:widowControl w:val="0"/>
        <w:autoSpaceDE w:val="0"/>
        <w:autoSpaceDN w:val="0"/>
        <w:adjustRightInd w:val="0"/>
        <w:rPr>
          <w:rFonts w:cs="Arial"/>
        </w:rPr>
      </w:pPr>
    </w:p>
    <w:bookmarkStart w:id="51" w:name="_MON_1550033852"/>
    <w:bookmarkEnd w:id="51"/>
    <w:p w14:paraId="50639AA1" w14:textId="3865BC8D" w:rsidR="001928FF" w:rsidRPr="00772A48" w:rsidRDefault="0005171A" w:rsidP="00FF5DF5">
      <w:pPr>
        <w:widowControl w:val="0"/>
        <w:autoSpaceDE w:val="0"/>
        <w:autoSpaceDN w:val="0"/>
        <w:adjustRightInd w:val="0"/>
        <w:jc w:val="center"/>
        <w:rPr>
          <w:rFonts w:cs="Arial"/>
        </w:rPr>
      </w:pPr>
      <w:r w:rsidRPr="00772A48">
        <w:rPr>
          <w:rFonts w:cs="Arial"/>
        </w:rPr>
        <w:object w:dxaOrig="11288" w:dyaOrig="3233" w14:anchorId="56CBBDC4">
          <v:shape id="_x0000_i1044" type="#_x0000_t75" style="width:451.65pt;height:143.05pt" o:ole="">
            <v:imagedata r:id="rId56" o:title=""/>
          </v:shape>
          <o:OLEObject Type="Embed" ProgID="Excel.Sheet.12" ShapeID="_x0000_i1044" DrawAspect="Content" ObjectID="_1805087278" r:id="rId57"/>
        </w:object>
      </w:r>
    </w:p>
    <w:p w14:paraId="1EDFFAD2" w14:textId="55580DEF" w:rsidR="0005171A" w:rsidRDefault="00FC08D7" w:rsidP="0005171A">
      <w:pPr>
        <w:spacing w:before="240"/>
        <w:rPr>
          <w:rFonts w:cs="Arial"/>
        </w:rPr>
      </w:pPr>
      <w:r w:rsidRPr="00772A48">
        <w:rPr>
          <w:rFonts w:cs="Arial"/>
        </w:rPr>
        <w:t>E</w:t>
      </w:r>
      <w:r w:rsidR="00352ED5" w:rsidRPr="00772A48">
        <w:rPr>
          <w:rFonts w:cs="Arial"/>
        </w:rPr>
        <w:t>stos importes se desglosan en el balance de la siguiente forma:</w:t>
      </w:r>
    </w:p>
    <w:bookmarkStart w:id="52" w:name="_MON_1674300321"/>
    <w:bookmarkEnd w:id="52"/>
    <w:p w14:paraId="21F98D67" w14:textId="068A9BBE" w:rsidR="004F0B20" w:rsidRPr="00772A48" w:rsidRDefault="0005171A" w:rsidP="0005171A">
      <w:pPr>
        <w:spacing w:before="240"/>
        <w:rPr>
          <w:rFonts w:cs="Arial"/>
        </w:rPr>
      </w:pPr>
      <w:r w:rsidRPr="00772A48">
        <w:rPr>
          <w:rFonts w:cs="Arial"/>
        </w:rPr>
        <w:object w:dxaOrig="10691" w:dyaOrig="5756" w14:anchorId="613BE915">
          <v:shape id="_x0000_i1045" type="#_x0000_t75" style="width:463.8pt;height:249.65pt" o:ole="">
            <v:imagedata r:id="rId58" o:title=""/>
          </v:shape>
          <o:OLEObject Type="Embed" ProgID="Excel.Sheet.12" ShapeID="_x0000_i1045" DrawAspect="Content" ObjectID="_1805087279" r:id="rId59"/>
        </w:object>
      </w:r>
    </w:p>
    <w:p w14:paraId="7DB271EC" w14:textId="1DA05110" w:rsidR="00361A65" w:rsidRDefault="00361A65" w:rsidP="00361A65">
      <w:pPr>
        <w:spacing w:before="240"/>
        <w:rPr>
          <w:rFonts w:cs="Arial"/>
        </w:rPr>
      </w:pPr>
    </w:p>
    <w:p w14:paraId="41C95A3A" w14:textId="77777777" w:rsidR="006B2F7D" w:rsidRPr="00772A48" w:rsidRDefault="006B2F7D" w:rsidP="005E1A22">
      <w:pPr>
        <w:rPr>
          <w:rFonts w:cs="Arial"/>
        </w:rPr>
      </w:pPr>
    </w:p>
    <w:p w14:paraId="649747B2" w14:textId="77777777" w:rsidR="00352ED5" w:rsidRPr="00DC0E73" w:rsidRDefault="00560402" w:rsidP="005E1A22">
      <w:pPr>
        <w:rPr>
          <w:rFonts w:cs="Arial"/>
          <w:b/>
        </w:rPr>
      </w:pPr>
      <w:r w:rsidRPr="00DC0E73">
        <w:rPr>
          <w:rFonts w:cs="Arial"/>
          <w:b/>
        </w:rPr>
        <w:t>13</w:t>
      </w:r>
      <w:r w:rsidR="005E1A22" w:rsidRPr="00DC0E73">
        <w:rPr>
          <w:rFonts w:cs="Arial"/>
          <w:b/>
        </w:rPr>
        <w:t>.1</w:t>
      </w:r>
      <w:r w:rsidR="005E1A22" w:rsidRPr="00DC0E73">
        <w:rPr>
          <w:rFonts w:cs="Arial"/>
          <w:b/>
        </w:rPr>
        <w:tab/>
      </w:r>
      <w:r w:rsidR="00352ED5" w:rsidRPr="00DC0E73">
        <w:rPr>
          <w:rFonts w:cs="Arial"/>
          <w:b/>
        </w:rPr>
        <w:t>Deudas con entidades de crédito</w:t>
      </w:r>
    </w:p>
    <w:p w14:paraId="6FAF9159" w14:textId="78A47B10" w:rsidR="00631F2A" w:rsidRDefault="002B327B" w:rsidP="0019731A">
      <w:pPr>
        <w:spacing w:before="240"/>
        <w:rPr>
          <w:rFonts w:cs="Arial"/>
        </w:rPr>
      </w:pPr>
      <w:r>
        <w:rPr>
          <w:rFonts w:cs="Arial"/>
        </w:rPr>
        <w:t>Al 31 de diciembre de 202</w:t>
      </w:r>
      <w:r w:rsidR="009D4A91">
        <w:rPr>
          <w:rFonts w:cs="Arial"/>
        </w:rPr>
        <w:t>4</w:t>
      </w:r>
      <w:r w:rsidR="000140E0">
        <w:rPr>
          <w:rFonts w:cs="Arial"/>
        </w:rPr>
        <w:t xml:space="preserve"> y 2023</w:t>
      </w:r>
      <w:r>
        <w:rPr>
          <w:rFonts w:cs="Arial"/>
        </w:rPr>
        <w:t xml:space="preserve">, no existen deudas con entidades de crédito. </w:t>
      </w:r>
    </w:p>
    <w:p w14:paraId="56FE1750" w14:textId="59042FCB" w:rsidR="00352ED5" w:rsidRPr="00872057" w:rsidRDefault="005E1A22" w:rsidP="005E1A22">
      <w:pPr>
        <w:spacing w:before="240"/>
        <w:jc w:val="left"/>
        <w:rPr>
          <w:rFonts w:cs="Arial"/>
          <w:b/>
        </w:rPr>
      </w:pPr>
      <w:r w:rsidRPr="00872057">
        <w:rPr>
          <w:rFonts w:cs="Arial"/>
          <w:b/>
        </w:rPr>
        <w:t>1</w:t>
      </w:r>
      <w:r w:rsidR="00560402" w:rsidRPr="00872057">
        <w:rPr>
          <w:rFonts w:cs="Arial"/>
          <w:b/>
        </w:rPr>
        <w:t>3</w:t>
      </w:r>
      <w:r w:rsidRPr="00872057">
        <w:rPr>
          <w:rFonts w:cs="Arial"/>
          <w:b/>
        </w:rPr>
        <w:t>.2</w:t>
      </w:r>
      <w:r w:rsidRPr="00872057">
        <w:rPr>
          <w:rFonts w:cs="Arial"/>
          <w:b/>
        </w:rPr>
        <w:tab/>
      </w:r>
      <w:r w:rsidR="00352ED5" w:rsidRPr="00872057">
        <w:rPr>
          <w:rFonts w:cs="Arial"/>
          <w:b/>
        </w:rPr>
        <w:t>Derivados y otros</w:t>
      </w:r>
    </w:p>
    <w:p w14:paraId="6CD1411C" w14:textId="77777777" w:rsidR="00B27A63" w:rsidRPr="00325578" w:rsidRDefault="00352ED5" w:rsidP="00352ED5">
      <w:pPr>
        <w:spacing w:before="240"/>
        <w:rPr>
          <w:rFonts w:cs="Arial"/>
        </w:rPr>
      </w:pPr>
      <w:r w:rsidRPr="00872057">
        <w:rPr>
          <w:rFonts w:cs="Arial"/>
        </w:rPr>
        <w:t>El detalle de los pasivos financieros clasificados en esta categoría al 31 de diciembre es el siguiente:</w:t>
      </w:r>
    </w:p>
    <w:p w14:paraId="32BBC256" w14:textId="1A3BAC8A" w:rsidR="00352ED5" w:rsidRDefault="00352ED5" w:rsidP="00352ED5">
      <w:pPr>
        <w:jc w:val="right"/>
        <w:rPr>
          <w:rFonts w:cs="Arial"/>
        </w:rPr>
      </w:pPr>
    </w:p>
    <w:p w14:paraId="7E56EE50" w14:textId="68017E80" w:rsidR="00C961E5" w:rsidRDefault="00C961E5" w:rsidP="00352ED5">
      <w:pPr>
        <w:jc w:val="right"/>
        <w:rPr>
          <w:rFonts w:cs="Arial"/>
        </w:rPr>
      </w:pPr>
    </w:p>
    <w:p w14:paraId="461DBD4C" w14:textId="77777777" w:rsidR="00C961E5" w:rsidRPr="00325578" w:rsidRDefault="00C961E5" w:rsidP="00352ED5">
      <w:pPr>
        <w:jc w:val="right"/>
        <w:rPr>
          <w:rFonts w:cs="Arial"/>
        </w:rPr>
      </w:pPr>
    </w:p>
    <w:bookmarkStart w:id="53" w:name="_MON_1642837804"/>
    <w:bookmarkEnd w:id="53"/>
    <w:p w14:paraId="681B3E1F" w14:textId="2FD337CA" w:rsidR="00757E45" w:rsidRDefault="008D1518" w:rsidP="00757E45">
      <w:pPr>
        <w:jc w:val="center"/>
        <w:rPr>
          <w:rFonts w:cs="Arial"/>
        </w:rPr>
      </w:pPr>
      <w:r w:rsidRPr="00325578">
        <w:rPr>
          <w:rFonts w:cs="Arial"/>
        </w:rPr>
        <w:object w:dxaOrig="8400" w:dyaOrig="3060" w14:anchorId="3ECB083C">
          <v:shape id="_x0000_i1046" type="#_x0000_t75" style="width:417.05pt;height:151.5pt" o:ole="">
            <v:imagedata r:id="rId60" o:title=""/>
          </v:shape>
          <o:OLEObject Type="Embed" ProgID="Excel.Sheet.8" ShapeID="_x0000_i1046" DrawAspect="Content" ObjectID="_1805087280" r:id="rId61"/>
        </w:object>
      </w:r>
    </w:p>
    <w:p w14:paraId="63218D07" w14:textId="77777777" w:rsidR="008D1518" w:rsidRDefault="008D1518" w:rsidP="008D1518">
      <w:pPr>
        <w:rPr>
          <w:rFonts w:cs="Arial"/>
        </w:rPr>
      </w:pPr>
    </w:p>
    <w:p w14:paraId="4F4F06A8" w14:textId="2E05F761" w:rsidR="008D1518" w:rsidRDefault="008D1518" w:rsidP="008D1518">
      <w:pPr>
        <w:rPr>
          <w:rFonts w:cs="Arial"/>
        </w:rPr>
      </w:pPr>
      <w:r>
        <w:rPr>
          <w:rFonts w:cs="Arial"/>
        </w:rPr>
        <w:t>Dentro del epígrafe de “Deudas transformables en subvenciones”, además de subvenciones recibidas pendientes de ejecución por importe de 58.378,39 euros (1.255.801,98 euros al cierre de 2023) (Nota 12.1), se incluye el superávit obtenido en el año 2023 por importe de 584.669,53 euros que está pendiente de reintegro al accionista único</w:t>
      </w:r>
      <w:r w:rsidR="00951F2D">
        <w:rPr>
          <w:rFonts w:cs="Arial"/>
        </w:rPr>
        <w:t>.</w:t>
      </w:r>
    </w:p>
    <w:p w14:paraId="5745FC5E" w14:textId="77777777" w:rsidR="00951F2D" w:rsidRDefault="00951F2D" w:rsidP="008D1518">
      <w:pPr>
        <w:rPr>
          <w:rFonts w:cs="Arial"/>
        </w:rPr>
      </w:pPr>
    </w:p>
    <w:p w14:paraId="782B2624" w14:textId="5CCE9A20" w:rsidR="00B27A63" w:rsidRPr="00325578" w:rsidRDefault="00951F2D" w:rsidP="003E640A">
      <w:pPr>
        <w:rPr>
          <w:rFonts w:cs="Arial"/>
        </w:rPr>
      </w:pPr>
      <w:r>
        <w:rPr>
          <w:rFonts w:cs="Arial"/>
        </w:rPr>
        <w:t>Bajo la rúbrica de “Anticipos de clientes” figura incluido, principalmente, el cobro anticipado de encargos de ejecución plurianual y que están pendiente de ejecución al cierre del ejercicio por importe de 1.455.883,80 euros (2.144.075,51 euros en 2023) (Nota 17).</w:t>
      </w:r>
    </w:p>
    <w:p w14:paraId="3A122A25" w14:textId="77777777" w:rsidR="004F0B20" w:rsidRPr="007E79B2" w:rsidRDefault="004F0B20" w:rsidP="003E640A">
      <w:pPr>
        <w:rPr>
          <w:rFonts w:cs="Arial"/>
          <w:highlight w:val="yellow"/>
        </w:rPr>
      </w:pPr>
    </w:p>
    <w:p w14:paraId="6B18EA5A" w14:textId="77777777" w:rsidR="00352ED5" w:rsidRPr="00325578" w:rsidRDefault="00352ED5" w:rsidP="00352ED5">
      <w:pPr>
        <w:rPr>
          <w:rFonts w:cs="Arial"/>
          <w:i/>
          <w:szCs w:val="20"/>
          <w:u w:val="single"/>
        </w:rPr>
      </w:pPr>
      <w:bookmarkStart w:id="54" w:name="_MON_1390380309"/>
      <w:bookmarkEnd w:id="54"/>
      <w:r w:rsidRPr="00325578">
        <w:rPr>
          <w:rFonts w:cs="Arial"/>
          <w:i/>
          <w:szCs w:val="20"/>
          <w:u w:val="single"/>
        </w:rPr>
        <w:t>Acreedores comerciales y otras cuentas a pagar</w:t>
      </w:r>
    </w:p>
    <w:p w14:paraId="35E3631A" w14:textId="77777777" w:rsidR="00352ED5" w:rsidRPr="005168A9" w:rsidRDefault="00352ED5" w:rsidP="00352ED5">
      <w:pPr>
        <w:spacing w:before="240"/>
        <w:rPr>
          <w:rFonts w:cs="Arial"/>
          <w:szCs w:val="20"/>
        </w:rPr>
      </w:pPr>
      <w:r w:rsidRPr="005168A9">
        <w:rPr>
          <w:rFonts w:cs="Arial"/>
          <w:szCs w:val="20"/>
        </w:rPr>
        <w:t>La composición de este epígrafe al 31 de diciembre es la siguiente:</w:t>
      </w:r>
    </w:p>
    <w:p w14:paraId="6F5D9F34" w14:textId="77777777" w:rsidR="0054688D" w:rsidRPr="005168A9" w:rsidRDefault="0054688D" w:rsidP="00A22E7E">
      <w:pPr>
        <w:jc w:val="center"/>
        <w:rPr>
          <w:rFonts w:cs="Arial"/>
          <w:szCs w:val="20"/>
        </w:rPr>
      </w:pPr>
    </w:p>
    <w:p w14:paraId="75B18805" w14:textId="77777777" w:rsidR="000E275D" w:rsidRPr="005168A9" w:rsidRDefault="000E275D" w:rsidP="00A22E7E">
      <w:pPr>
        <w:jc w:val="center"/>
        <w:rPr>
          <w:rFonts w:cs="Arial"/>
          <w:szCs w:val="20"/>
        </w:rPr>
      </w:pPr>
    </w:p>
    <w:bookmarkStart w:id="55" w:name="_MON_1547895052"/>
    <w:bookmarkEnd w:id="55"/>
    <w:bookmarkStart w:id="56" w:name="_MON_1390381290"/>
    <w:bookmarkEnd w:id="56"/>
    <w:p w14:paraId="36BC2B04" w14:textId="430878B6" w:rsidR="0050426D" w:rsidRPr="005168A9" w:rsidRDefault="00241913" w:rsidP="00A22E7E">
      <w:pPr>
        <w:jc w:val="center"/>
        <w:rPr>
          <w:rFonts w:cs="Arial"/>
          <w:szCs w:val="20"/>
        </w:rPr>
      </w:pPr>
      <w:r w:rsidRPr="005168A9">
        <w:rPr>
          <w:rFonts w:cs="Arial"/>
          <w:szCs w:val="20"/>
        </w:rPr>
        <w:object w:dxaOrig="8497" w:dyaOrig="1505" w14:anchorId="58195B5D">
          <v:shape id="_x0000_i1047" type="#_x0000_t75" style="width:404.9pt;height:76.7pt" o:ole="">
            <v:imagedata r:id="rId62" o:title=""/>
          </v:shape>
          <o:OLEObject Type="Embed" ProgID="Excel.Sheet.8" ShapeID="_x0000_i1047" DrawAspect="Content" ObjectID="_1805087281" r:id="rId63"/>
        </w:object>
      </w:r>
    </w:p>
    <w:p w14:paraId="6BCB1463" w14:textId="77777777" w:rsidR="003930D3" w:rsidRPr="005168A9" w:rsidRDefault="003930D3" w:rsidP="00A22E7E">
      <w:pPr>
        <w:jc w:val="center"/>
        <w:rPr>
          <w:rFonts w:cs="Arial"/>
          <w:szCs w:val="20"/>
        </w:rPr>
      </w:pPr>
    </w:p>
    <w:p w14:paraId="68DA154B" w14:textId="77777777" w:rsidR="003930D3" w:rsidRPr="00605066" w:rsidRDefault="003930D3" w:rsidP="00A22E7E">
      <w:pPr>
        <w:jc w:val="center"/>
        <w:rPr>
          <w:rFonts w:cs="Arial"/>
          <w:szCs w:val="20"/>
          <w:highlight w:val="yellow"/>
        </w:rPr>
      </w:pPr>
    </w:p>
    <w:p w14:paraId="64F75278" w14:textId="3373666F" w:rsidR="0014297C" w:rsidRPr="008A17DE" w:rsidRDefault="00637B6F" w:rsidP="0014297C">
      <w:pPr>
        <w:autoSpaceDE w:val="0"/>
        <w:autoSpaceDN w:val="0"/>
        <w:rPr>
          <w:szCs w:val="20"/>
          <w:lang w:val="es-ES" w:eastAsia="es-ES"/>
        </w:rPr>
      </w:pPr>
      <w:bookmarkStart w:id="57" w:name="_Hlk160623373"/>
      <w:bookmarkStart w:id="58" w:name="_Hlk190679545"/>
      <w:r w:rsidRPr="008A17DE">
        <w:t>Entre los ejercicios 2019 y 2023, noventa y cinco trabajadores han formulado ochenta y ocho demandas en reconocimiento de derecho y cantidad al percibo del complemento de antigüedad en el que reclaman un año de atrasos por dicho concepto. Al cierre del año 202</w:t>
      </w:r>
      <w:r w:rsidR="008A17DE" w:rsidRPr="008A17DE">
        <w:t>4</w:t>
      </w:r>
      <w:r w:rsidRPr="008A17DE">
        <w:t xml:space="preserve">, quedan </w:t>
      </w:r>
      <w:r w:rsidR="008A17DE" w:rsidRPr="008A17DE">
        <w:t xml:space="preserve">cinco </w:t>
      </w:r>
      <w:r w:rsidRPr="008A17DE">
        <w:t>demandas pendientes de juicio y sentencia</w:t>
      </w:r>
      <w:r w:rsidR="00700BF6">
        <w:t xml:space="preserve"> (nueve demandas al cierre de 2023)</w:t>
      </w:r>
      <w:r w:rsidR="0014297C" w:rsidRPr="008A17DE">
        <w:t>.</w:t>
      </w:r>
    </w:p>
    <w:p w14:paraId="7F23AFEA" w14:textId="77777777" w:rsidR="0014297C" w:rsidRPr="00241913" w:rsidRDefault="0014297C" w:rsidP="0014297C">
      <w:pPr>
        <w:autoSpaceDE w:val="0"/>
        <w:autoSpaceDN w:val="0"/>
        <w:rPr>
          <w:highlight w:val="cyan"/>
        </w:rPr>
      </w:pPr>
    </w:p>
    <w:p w14:paraId="116FDDDA" w14:textId="796B1C86" w:rsidR="00773F21" w:rsidRPr="00995600" w:rsidRDefault="0014297C" w:rsidP="0014297C">
      <w:pPr>
        <w:autoSpaceDE w:val="0"/>
        <w:autoSpaceDN w:val="0"/>
        <w:rPr>
          <w:iCs/>
          <w:lang w:val="es-ES"/>
        </w:rPr>
      </w:pPr>
      <w:r w:rsidRPr="008A17DE">
        <w:t xml:space="preserve">La sociedad ha reconocido este derecho y ha abonado el complemento de antigüedad a todos los trabajadores adscritos al Convenio Colectivo de Oficinas y Estudios Técnicos a partir de enero de 2021, exceptuando a varios trabajadores </w:t>
      </w:r>
      <w:r w:rsidR="00584444" w:rsidRPr="008A17DE">
        <w:t xml:space="preserve">para los que no se ha celebrado juicio o bien con juicio celebrado </w:t>
      </w:r>
      <w:r w:rsidRPr="008A17DE">
        <w:t>cuyas sentencias están pendientes de emitirse,</w:t>
      </w:r>
      <w:r w:rsidR="00773F21" w:rsidRPr="008A17DE">
        <w:rPr>
          <w:iCs/>
          <w:lang w:val="es-ES"/>
        </w:rPr>
        <w:t xml:space="preserve"> por lo que la Sociedad ha dotado provisión por el importe de la antigüedad de</w:t>
      </w:r>
      <w:r w:rsidR="00584444" w:rsidRPr="008A17DE">
        <w:rPr>
          <w:iCs/>
          <w:lang w:val="es-ES"/>
        </w:rPr>
        <w:t xml:space="preserve"> dicho </w:t>
      </w:r>
      <w:r w:rsidR="00773F21" w:rsidRPr="008A17DE">
        <w:rPr>
          <w:iCs/>
          <w:lang w:val="es-ES"/>
        </w:rPr>
        <w:t>personal</w:t>
      </w:r>
      <w:r w:rsidRPr="008A17DE">
        <w:rPr>
          <w:iCs/>
          <w:lang w:val="es-ES"/>
        </w:rPr>
        <w:t>,</w:t>
      </w:r>
      <w:r w:rsidR="00A17803" w:rsidRPr="008A17DE">
        <w:rPr>
          <w:iCs/>
          <w:lang w:val="es-ES"/>
        </w:rPr>
        <w:t xml:space="preserve"> que asciende </w:t>
      </w:r>
      <w:r w:rsidR="00A17803" w:rsidRPr="00995600">
        <w:rPr>
          <w:iCs/>
          <w:lang w:val="es-ES"/>
        </w:rPr>
        <w:t xml:space="preserve">a </w:t>
      </w:r>
      <w:bookmarkStart w:id="59" w:name="_Hlk97282179"/>
      <w:r w:rsidR="009A317E" w:rsidRPr="00995600">
        <w:rPr>
          <w:iCs/>
          <w:lang w:val="es-ES"/>
        </w:rPr>
        <w:t>9.061,39</w:t>
      </w:r>
      <w:r w:rsidR="00A17803" w:rsidRPr="00995600">
        <w:rPr>
          <w:iCs/>
          <w:lang w:val="es-ES"/>
        </w:rPr>
        <w:t xml:space="preserve"> euros</w:t>
      </w:r>
      <w:r w:rsidR="00281A10" w:rsidRPr="00995600">
        <w:rPr>
          <w:iCs/>
          <w:lang w:val="es-ES"/>
        </w:rPr>
        <w:t xml:space="preserve"> </w:t>
      </w:r>
      <w:bookmarkEnd w:id="59"/>
      <w:r w:rsidR="00281A10" w:rsidRPr="00995600">
        <w:rPr>
          <w:iCs/>
          <w:lang w:val="es-ES"/>
        </w:rPr>
        <w:t>(</w:t>
      </w:r>
      <w:r w:rsidR="008A17DE" w:rsidRPr="00995600">
        <w:rPr>
          <w:iCs/>
          <w:lang w:val="es-ES"/>
        </w:rPr>
        <w:t xml:space="preserve">11.261,85 euros </w:t>
      </w:r>
      <w:r w:rsidR="00281A10" w:rsidRPr="00995600">
        <w:rPr>
          <w:iCs/>
          <w:lang w:val="es-ES"/>
        </w:rPr>
        <w:t>en el 20</w:t>
      </w:r>
      <w:r w:rsidR="00F27E64" w:rsidRPr="00995600">
        <w:rPr>
          <w:iCs/>
          <w:lang w:val="es-ES"/>
        </w:rPr>
        <w:t>2</w:t>
      </w:r>
      <w:r w:rsidR="008A17DE" w:rsidRPr="00995600">
        <w:rPr>
          <w:iCs/>
          <w:lang w:val="es-ES"/>
        </w:rPr>
        <w:t>3</w:t>
      </w:r>
      <w:r w:rsidR="00281A10" w:rsidRPr="00995600">
        <w:rPr>
          <w:iCs/>
          <w:lang w:val="es-ES"/>
        </w:rPr>
        <w:t>)</w:t>
      </w:r>
      <w:r w:rsidRPr="00995600">
        <w:rPr>
          <w:iCs/>
          <w:lang w:val="es-ES"/>
        </w:rPr>
        <w:t xml:space="preserve"> y</w:t>
      </w:r>
      <w:r w:rsidR="00281A10" w:rsidRPr="00995600">
        <w:rPr>
          <w:iCs/>
          <w:lang w:val="es-ES"/>
        </w:rPr>
        <w:t xml:space="preserve"> que figura incluido en el epígrafe “Personal”</w:t>
      </w:r>
      <w:r w:rsidR="00A17803" w:rsidRPr="00995600">
        <w:rPr>
          <w:iCs/>
          <w:lang w:val="es-ES"/>
        </w:rPr>
        <w:t>.</w:t>
      </w:r>
    </w:p>
    <w:bookmarkEnd w:id="57"/>
    <w:p w14:paraId="219E1094" w14:textId="47EEBAD5" w:rsidR="0044254D" w:rsidRPr="00995600" w:rsidRDefault="0044254D" w:rsidP="0014297C">
      <w:pPr>
        <w:autoSpaceDE w:val="0"/>
        <w:autoSpaceDN w:val="0"/>
        <w:rPr>
          <w:iCs/>
          <w:lang w:val="es-ES"/>
        </w:rPr>
      </w:pPr>
    </w:p>
    <w:p w14:paraId="359365CC" w14:textId="344269BC" w:rsidR="008A17DE" w:rsidRPr="008A17DE" w:rsidRDefault="008A17DE" w:rsidP="008A17DE">
      <w:pPr>
        <w:autoSpaceDE w:val="0"/>
        <w:autoSpaceDN w:val="0"/>
        <w:rPr>
          <w:iCs/>
          <w:lang w:val="es-ES"/>
        </w:rPr>
      </w:pPr>
      <w:r w:rsidRPr="008A17DE">
        <w:rPr>
          <w:iCs/>
          <w:lang w:val="es-ES"/>
        </w:rPr>
        <w:t xml:space="preserve">La sociedad ha dotado una provisión por el importe correspondiente al incremento del 0,5 por ciento vinculado al Real Decreto-Ley 4/2024, de 26 de junio, por el que se prorrogan determinadas medidas para afrontar las consecuencias económicas y sociales derivadas de los conflictos de Ucrania y Oriente Próximo y se adoptan medidas urgentes en materia fiscal, energética y social. </w:t>
      </w:r>
      <w:r w:rsidRPr="00995600">
        <w:rPr>
          <w:iCs/>
          <w:lang w:val="es-ES"/>
        </w:rPr>
        <w:t xml:space="preserve">Este incremento salarial se produce con efecto retroactivo a 1 de enero de 2024 y </w:t>
      </w:r>
      <w:r w:rsidR="009A317E" w:rsidRPr="00995600">
        <w:rPr>
          <w:iCs/>
          <w:lang w:val="es-ES"/>
        </w:rPr>
        <w:t>el importe de la provisión</w:t>
      </w:r>
      <w:r w:rsidRPr="00995600">
        <w:rPr>
          <w:iCs/>
          <w:lang w:val="es-ES"/>
        </w:rPr>
        <w:t xml:space="preserve"> </w:t>
      </w:r>
      <w:r w:rsidR="009A317E" w:rsidRPr="00995600">
        <w:rPr>
          <w:iCs/>
          <w:lang w:val="es-ES"/>
        </w:rPr>
        <w:t xml:space="preserve">por este concepto </w:t>
      </w:r>
      <w:r w:rsidRPr="00995600">
        <w:rPr>
          <w:iCs/>
          <w:lang w:val="es-ES"/>
        </w:rPr>
        <w:t xml:space="preserve">asciende a </w:t>
      </w:r>
      <w:r w:rsidR="009A317E" w:rsidRPr="00995600">
        <w:rPr>
          <w:iCs/>
          <w:lang w:val="es-ES"/>
        </w:rPr>
        <w:t>35.324,63</w:t>
      </w:r>
      <w:r w:rsidRPr="00995600">
        <w:rPr>
          <w:iCs/>
          <w:lang w:val="es-ES"/>
        </w:rPr>
        <w:t xml:space="preserve"> </w:t>
      </w:r>
      <w:r w:rsidRPr="008A17DE">
        <w:rPr>
          <w:iCs/>
          <w:lang w:val="es-ES"/>
        </w:rPr>
        <w:t>euros.</w:t>
      </w:r>
    </w:p>
    <w:p w14:paraId="06D13A56" w14:textId="77777777" w:rsidR="00870C26" w:rsidRPr="0044254D" w:rsidRDefault="00870C26" w:rsidP="0044254D">
      <w:pPr>
        <w:autoSpaceDE w:val="0"/>
        <w:autoSpaceDN w:val="0"/>
        <w:rPr>
          <w:iCs/>
          <w:lang w:val="es-ES"/>
        </w:rPr>
      </w:pPr>
    </w:p>
    <w:bookmarkEnd w:id="58"/>
    <w:p w14:paraId="0B9EB47D" w14:textId="77777777" w:rsidR="00A8572A" w:rsidRPr="00C42FDD" w:rsidRDefault="009B42D9" w:rsidP="00A8572A">
      <w:pPr>
        <w:spacing w:before="600"/>
        <w:rPr>
          <w:rFonts w:cs="Arial"/>
          <w:b/>
        </w:rPr>
      </w:pPr>
      <w:r w:rsidRPr="00C42FDD">
        <w:rPr>
          <w:rFonts w:cs="Arial"/>
          <w:b/>
        </w:rPr>
        <w:lastRenderedPageBreak/>
        <w:t>14</w:t>
      </w:r>
      <w:r w:rsidR="00A8572A" w:rsidRPr="00C42FDD">
        <w:rPr>
          <w:rFonts w:cs="Arial"/>
          <w:b/>
        </w:rPr>
        <w:t>.</w:t>
      </w:r>
      <w:r w:rsidR="00A8572A" w:rsidRPr="00C42FDD">
        <w:rPr>
          <w:rFonts w:cs="Arial"/>
          <w:b/>
        </w:rPr>
        <w:tab/>
        <w:t>GARANTÍAS COMPROMETIDAS CON TERCEROS Y OTROS PASIVOS</w:t>
      </w:r>
      <w:r w:rsidR="00B42DF9" w:rsidRPr="00C42FDD">
        <w:rPr>
          <w:rFonts w:cs="Arial"/>
          <w:b/>
        </w:rPr>
        <w:t xml:space="preserve"> </w:t>
      </w:r>
      <w:r w:rsidR="00A8572A" w:rsidRPr="00C42FDD">
        <w:rPr>
          <w:rFonts w:cs="Arial"/>
          <w:b/>
        </w:rPr>
        <w:t>CONTINGENTES</w:t>
      </w:r>
    </w:p>
    <w:p w14:paraId="627ECD0A" w14:textId="57FD248F" w:rsidR="00B27A63" w:rsidRDefault="00A8572A" w:rsidP="00A8572A">
      <w:pPr>
        <w:spacing w:before="240"/>
        <w:rPr>
          <w:rFonts w:cs="Arial"/>
        </w:rPr>
      </w:pPr>
      <w:r w:rsidRPr="00CA5BD1">
        <w:rPr>
          <w:rFonts w:cs="Arial"/>
        </w:rPr>
        <w:t>El detalle de las garantías comprometidas con terceros, bajo la forma de avales bancarios al 31 de diciembre es el siguiente:</w:t>
      </w:r>
    </w:p>
    <w:p w14:paraId="06C12807" w14:textId="77777777" w:rsidR="00E617A7" w:rsidRDefault="00E617A7" w:rsidP="008C4996">
      <w:pPr>
        <w:rPr>
          <w:rFonts w:cs="Arial"/>
          <w:szCs w:val="20"/>
        </w:rPr>
      </w:pPr>
      <w:bookmarkStart w:id="60" w:name="_MON_1547897094"/>
      <w:bookmarkStart w:id="61" w:name="_MON_1390383433"/>
      <w:bookmarkStart w:id="62" w:name="_MON_1390383474"/>
      <w:bookmarkEnd w:id="60"/>
      <w:bookmarkEnd w:id="61"/>
      <w:bookmarkEnd w:id="62"/>
    </w:p>
    <w:bookmarkStart w:id="63" w:name="_MON_1390381773"/>
    <w:bookmarkEnd w:id="63"/>
    <w:p w14:paraId="358CEA3A" w14:textId="6556F9EF" w:rsidR="004D4C1C" w:rsidRPr="00CA5BD1" w:rsidRDefault="00915D10" w:rsidP="008C4996">
      <w:pPr>
        <w:rPr>
          <w:rFonts w:cs="Arial"/>
          <w:i/>
          <w:szCs w:val="20"/>
          <w:u w:val="single"/>
        </w:rPr>
      </w:pPr>
      <w:r w:rsidRPr="00CA5BD1">
        <w:rPr>
          <w:rFonts w:cs="Arial"/>
          <w:szCs w:val="20"/>
        </w:rPr>
        <w:object w:dxaOrig="9205" w:dyaOrig="2318" w14:anchorId="5FD2DE64">
          <v:shape id="_x0000_i1048" type="#_x0000_t75" style="width:454.45pt;height:117.8pt" o:ole="">
            <v:imagedata r:id="rId64" o:title=""/>
          </v:shape>
          <o:OLEObject Type="Embed" ProgID="Excel.Sheet.8" ShapeID="_x0000_i1048" DrawAspect="Content" ObjectID="_1805087282" r:id="rId65"/>
        </w:object>
      </w:r>
    </w:p>
    <w:p w14:paraId="136A9000" w14:textId="77777777" w:rsidR="009F268A" w:rsidRPr="00CA5BD1" w:rsidRDefault="009F268A" w:rsidP="008C4996">
      <w:pPr>
        <w:rPr>
          <w:rFonts w:cs="Arial"/>
          <w:i/>
          <w:szCs w:val="20"/>
          <w:u w:val="single"/>
        </w:rPr>
      </w:pPr>
    </w:p>
    <w:p w14:paraId="21963064" w14:textId="264A8204" w:rsidR="007764D6" w:rsidRPr="00962D25" w:rsidRDefault="0019124B" w:rsidP="008C4996">
      <w:pPr>
        <w:rPr>
          <w:rFonts w:cs="Arial"/>
          <w:color w:val="FF0000"/>
          <w:szCs w:val="20"/>
        </w:rPr>
      </w:pPr>
      <w:r w:rsidRPr="00CA5BD1">
        <w:rPr>
          <w:rFonts w:cs="Arial"/>
          <w:i/>
          <w:szCs w:val="20"/>
          <w:u w:val="single"/>
        </w:rPr>
        <w:t>Pasivos C</w:t>
      </w:r>
      <w:r w:rsidR="007279CF" w:rsidRPr="00CA5BD1">
        <w:rPr>
          <w:rFonts w:cs="Arial"/>
          <w:i/>
          <w:szCs w:val="20"/>
          <w:u w:val="single"/>
        </w:rPr>
        <w:t>ontingen</w:t>
      </w:r>
      <w:r w:rsidRPr="00CA5BD1">
        <w:rPr>
          <w:rFonts w:cs="Arial"/>
          <w:i/>
          <w:szCs w:val="20"/>
          <w:u w:val="single"/>
        </w:rPr>
        <w:t>tes</w:t>
      </w:r>
      <w:r w:rsidR="00C03D00" w:rsidRPr="00962D25">
        <w:rPr>
          <w:rFonts w:cs="Arial"/>
          <w:i/>
          <w:szCs w:val="20"/>
          <w:u w:val="single"/>
        </w:rPr>
        <w:t xml:space="preserve"> </w:t>
      </w:r>
    </w:p>
    <w:p w14:paraId="2C9FA7CF" w14:textId="77777777" w:rsidR="0021214F" w:rsidRDefault="0021214F" w:rsidP="0020092C">
      <w:pPr>
        <w:autoSpaceDE w:val="0"/>
        <w:autoSpaceDN w:val="0"/>
      </w:pPr>
    </w:p>
    <w:p w14:paraId="4620A65E" w14:textId="2D27F9B2" w:rsidR="0020092C" w:rsidRPr="00200A28" w:rsidRDefault="0020092C" w:rsidP="0020092C">
      <w:pPr>
        <w:autoSpaceDE w:val="0"/>
        <w:autoSpaceDN w:val="0"/>
        <w:rPr>
          <w:szCs w:val="20"/>
          <w:lang w:eastAsia="es-ES"/>
        </w:rPr>
      </w:pPr>
      <w:bookmarkStart w:id="64" w:name="_Hlk190679594"/>
      <w:bookmarkStart w:id="65" w:name="_Hlk98417266"/>
      <w:r w:rsidRPr="00200A28">
        <w:t>En 202</w:t>
      </w:r>
      <w:r w:rsidR="007B7399" w:rsidRPr="00200A28">
        <w:t>4</w:t>
      </w:r>
      <w:r w:rsidRPr="00200A28">
        <w:t xml:space="preserve"> permanece abierta una cuestión litigiosa declarativa de cesión ilegal afectante al personal de </w:t>
      </w:r>
      <w:r w:rsidR="007B7399" w:rsidRPr="00200A28">
        <w:t>proyectos que realiza encargos de la Consejería de Agricultura, Ganadería, Pesca y Soberanía Alimentaria</w:t>
      </w:r>
      <w:r w:rsidRPr="00200A28">
        <w:t>.</w:t>
      </w:r>
    </w:p>
    <w:p w14:paraId="6D9B46AD" w14:textId="77777777" w:rsidR="0020092C" w:rsidRPr="00200A28" w:rsidRDefault="0020092C" w:rsidP="0020092C">
      <w:pPr>
        <w:autoSpaceDE w:val="0"/>
        <w:autoSpaceDN w:val="0"/>
      </w:pPr>
    </w:p>
    <w:p w14:paraId="78F35594" w14:textId="2B84315D" w:rsidR="0020092C" w:rsidRPr="00200A28" w:rsidRDefault="007B7399" w:rsidP="0020092C">
      <w:pPr>
        <w:autoSpaceDE w:val="0"/>
        <w:autoSpaceDN w:val="0"/>
      </w:pPr>
      <w:r w:rsidRPr="00200A28">
        <w:t>La Sociedad</w:t>
      </w:r>
      <w:r w:rsidR="0020092C" w:rsidRPr="00200A28">
        <w:t xml:space="preserve"> ha tramitado estos expedientes de conformidad con la normativa en vigor, no obstante, y hasta la fecha de formulación de estas cuentas anuales, se ha obtenido unos pronunciamientos favorables y otros desfavorables por parte de los juzgados competentes, sin que sea factible efectuar una estimación objetiva de las probabilidades en el resultado de las demandas, del momento en el que serán resueltas las mismas ni de su cuantía, pues dependen de las circunstancias de cada caso individual y de la valoración que de ellos hagan los tribunales de justicia. No obstante, los pronunciamientos desfavorables hasta ahora no han supuesto ningún desembolso económico indemnizatorio para </w:t>
      </w:r>
      <w:r w:rsidR="00200A28" w:rsidRPr="00200A28">
        <w:t>la Sociedad</w:t>
      </w:r>
      <w:r w:rsidR="0020092C" w:rsidRPr="00200A28">
        <w:t>, únicamente en algún caso la pérdida de los depósitos judiciales y consignaciones no significativos efectuados para recurrir.</w:t>
      </w:r>
    </w:p>
    <w:p w14:paraId="7C174E3E" w14:textId="77BA9943" w:rsidR="00773F21" w:rsidRPr="00200A28" w:rsidRDefault="00773F21" w:rsidP="00773F21">
      <w:pPr>
        <w:autoSpaceDE w:val="0"/>
        <w:autoSpaceDN w:val="0"/>
        <w:adjustRightInd w:val="0"/>
        <w:rPr>
          <w:iCs/>
        </w:rPr>
      </w:pPr>
    </w:p>
    <w:p w14:paraId="4C96A011" w14:textId="6082F233" w:rsidR="007A1C57" w:rsidRDefault="007A1C57" w:rsidP="00773F21">
      <w:pPr>
        <w:autoSpaceDE w:val="0"/>
        <w:autoSpaceDN w:val="0"/>
        <w:adjustRightInd w:val="0"/>
        <w:rPr>
          <w:iCs/>
        </w:rPr>
      </w:pPr>
      <w:r w:rsidRPr="007B22BD">
        <w:rPr>
          <w:iCs/>
        </w:rPr>
        <w:t>En 2023 se ha formulado demanda de conflicto colectivo por parte de UGT para la adscripción de una parte de los trabajadores al Convenio Colectivo de Oficinas y Estudios Técnicos. Se ha obtenido sentencia favorable a la Sociedad, aunque ésta ha sido recurrida.</w:t>
      </w:r>
    </w:p>
    <w:p w14:paraId="008F0F3C" w14:textId="77777777" w:rsidR="007B22BD" w:rsidRDefault="007B22BD" w:rsidP="00773F21">
      <w:pPr>
        <w:autoSpaceDE w:val="0"/>
        <w:autoSpaceDN w:val="0"/>
        <w:adjustRightInd w:val="0"/>
        <w:rPr>
          <w:iCs/>
        </w:rPr>
      </w:pPr>
    </w:p>
    <w:p w14:paraId="31A027DE" w14:textId="580CB876" w:rsidR="007B22BD" w:rsidRDefault="007B22BD" w:rsidP="007B22BD">
      <w:pPr>
        <w:autoSpaceDE w:val="0"/>
        <w:autoSpaceDN w:val="0"/>
        <w:adjustRightInd w:val="0"/>
        <w:rPr>
          <w:iCs/>
          <w:lang w:val="es-ES"/>
        </w:rPr>
      </w:pPr>
      <w:r>
        <w:rPr>
          <w:iCs/>
          <w:lang w:val="es-ES"/>
        </w:rPr>
        <w:t xml:space="preserve">Asimismo, </w:t>
      </w:r>
      <w:r w:rsidRPr="007B22BD">
        <w:rPr>
          <w:iCs/>
          <w:lang w:val="es-ES"/>
        </w:rPr>
        <w:t xml:space="preserve">en 2024 se ha </w:t>
      </w:r>
      <w:r>
        <w:rPr>
          <w:iCs/>
          <w:lang w:val="es-ES"/>
        </w:rPr>
        <w:t xml:space="preserve">interpuesto </w:t>
      </w:r>
      <w:r w:rsidRPr="007B22BD">
        <w:rPr>
          <w:iCs/>
          <w:lang w:val="es-ES"/>
        </w:rPr>
        <w:t>demanda de conflicto colectivo en materia de jornada laboral y horario de verano</w:t>
      </w:r>
      <w:r>
        <w:rPr>
          <w:iCs/>
          <w:lang w:val="es-ES"/>
        </w:rPr>
        <w:t>, pendiente de juicio.</w:t>
      </w:r>
    </w:p>
    <w:p w14:paraId="4CEEC396" w14:textId="678698C8" w:rsidR="007B22BD" w:rsidRPr="007B22BD" w:rsidRDefault="007B22BD" w:rsidP="007B22BD">
      <w:pPr>
        <w:autoSpaceDE w:val="0"/>
        <w:autoSpaceDN w:val="0"/>
        <w:adjustRightInd w:val="0"/>
        <w:rPr>
          <w:iCs/>
          <w:lang w:val="es-ES"/>
        </w:rPr>
      </w:pPr>
      <w:r w:rsidRPr="007B22BD">
        <w:rPr>
          <w:iCs/>
          <w:lang w:val="es-ES"/>
        </w:rPr>
        <w:t xml:space="preserve"> </w:t>
      </w:r>
    </w:p>
    <w:p w14:paraId="7ED23A9D" w14:textId="2B327EE8" w:rsidR="007B22BD" w:rsidRPr="007B22BD" w:rsidRDefault="007B22BD" w:rsidP="007B22BD">
      <w:pPr>
        <w:autoSpaceDE w:val="0"/>
        <w:autoSpaceDN w:val="0"/>
        <w:adjustRightInd w:val="0"/>
        <w:rPr>
          <w:iCs/>
          <w:lang w:val="es-ES"/>
        </w:rPr>
      </w:pPr>
      <w:r>
        <w:rPr>
          <w:iCs/>
          <w:lang w:val="es-ES"/>
        </w:rPr>
        <w:t>Por otra parte, h</w:t>
      </w:r>
      <w:r w:rsidRPr="007B22BD">
        <w:rPr>
          <w:iCs/>
          <w:lang w:val="es-ES"/>
        </w:rPr>
        <w:t xml:space="preserve">ay abiertos </w:t>
      </w:r>
      <w:r>
        <w:rPr>
          <w:iCs/>
          <w:lang w:val="es-ES"/>
        </w:rPr>
        <w:t xml:space="preserve">varios </w:t>
      </w:r>
      <w:r w:rsidRPr="007B22BD">
        <w:rPr>
          <w:iCs/>
          <w:lang w:val="es-ES"/>
        </w:rPr>
        <w:t xml:space="preserve">litigios </w:t>
      </w:r>
      <w:r>
        <w:rPr>
          <w:iCs/>
          <w:lang w:val="es-ES"/>
        </w:rPr>
        <w:t xml:space="preserve">en </w:t>
      </w:r>
      <w:r w:rsidRPr="007B22BD">
        <w:rPr>
          <w:iCs/>
          <w:lang w:val="es-ES"/>
        </w:rPr>
        <w:t>diversas materias:  cesión ilegal,  sanción de suspensión de empleo y sueldo, descanso semanal, despidos y diferencias salariales</w:t>
      </w:r>
      <w:r>
        <w:rPr>
          <w:iCs/>
          <w:lang w:val="es-ES"/>
        </w:rPr>
        <w:t xml:space="preserve"> que permanecen pendientes de juicio.</w:t>
      </w:r>
    </w:p>
    <w:p w14:paraId="692BA888" w14:textId="77777777" w:rsidR="007B22BD" w:rsidRPr="007B22BD" w:rsidRDefault="007B22BD" w:rsidP="00773F21">
      <w:pPr>
        <w:autoSpaceDE w:val="0"/>
        <w:autoSpaceDN w:val="0"/>
        <w:adjustRightInd w:val="0"/>
        <w:rPr>
          <w:iCs/>
        </w:rPr>
      </w:pPr>
    </w:p>
    <w:p w14:paraId="00260158" w14:textId="4FDD6FFA" w:rsidR="00711024" w:rsidRDefault="0037342A" w:rsidP="0037342A">
      <w:pPr>
        <w:autoSpaceDE w:val="0"/>
        <w:autoSpaceDN w:val="0"/>
        <w:adjustRightInd w:val="0"/>
        <w:rPr>
          <w:iCs/>
          <w:lang w:val="es-ES"/>
        </w:rPr>
      </w:pPr>
      <w:r w:rsidRPr="00962D25">
        <w:rPr>
          <w:iCs/>
          <w:lang w:val="es-ES"/>
        </w:rPr>
        <w:t>En el ejercicio 2020 la Sociedad procedi</w:t>
      </w:r>
      <w:r w:rsidR="00613F46">
        <w:rPr>
          <w:iCs/>
          <w:lang w:val="es-ES"/>
        </w:rPr>
        <w:t>ó</w:t>
      </w:r>
      <w:r w:rsidRPr="00962D25">
        <w:rPr>
          <w:iCs/>
          <w:lang w:val="es-ES"/>
        </w:rPr>
        <w:t xml:space="preserve"> a la resolución de un contrato de servicios suscrito con un tercero en el año 2019 por incumplimiento grave y </w:t>
      </w:r>
      <w:r w:rsidRPr="00BF09E9">
        <w:rPr>
          <w:iCs/>
          <w:lang w:val="es-ES"/>
        </w:rPr>
        <w:t xml:space="preserve">reiterado por parte del contratista. </w:t>
      </w:r>
      <w:r w:rsidR="00BF09E9" w:rsidRPr="00BF09E9">
        <w:rPr>
          <w:iCs/>
          <w:lang w:val="es-ES"/>
        </w:rPr>
        <w:t>L</w:t>
      </w:r>
      <w:r w:rsidRPr="00BF09E9">
        <w:rPr>
          <w:iCs/>
          <w:lang w:val="es-ES"/>
        </w:rPr>
        <w:t xml:space="preserve">a Sociedad </w:t>
      </w:r>
      <w:r w:rsidR="00BF09E9" w:rsidRPr="00BF09E9">
        <w:rPr>
          <w:iCs/>
          <w:lang w:val="es-ES"/>
        </w:rPr>
        <w:t>presentó</w:t>
      </w:r>
      <w:r w:rsidR="00962D25" w:rsidRPr="00BF09E9">
        <w:rPr>
          <w:iCs/>
          <w:lang w:val="es-ES"/>
        </w:rPr>
        <w:t xml:space="preserve"> demanda contra el tercero</w:t>
      </w:r>
      <w:r w:rsidR="001D4839" w:rsidRPr="00BF09E9">
        <w:rPr>
          <w:iCs/>
          <w:lang w:val="es-ES"/>
        </w:rPr>
        <w:t xml:space="preserve">, </w:t>
      </w:r>
      <w:r w:rsidRPr="00BF09E9">
        <w:rPr>
          <w:iCs/>
          <w:lang w:val="es-ES"/>
        </w:rPr>
        <w:t>reclama</w:t>
      </w:r>
      <w:r w:rsidR="00962D25" w:rsidRPr="00BF09E9">
        <w:rPr>
          <w:iCs/>
          <w:lang w:val="es-ES"/>
        </w:rPr>
        <w:t>ndo</w:t>
      </w:r>
      <w:r w:rsidRPr="00BF09E9">
        <w:rPr>
          <w:iCs/>
          <w:lang w:val="es-ES"/>
        </w:rPr>
        <w:t xml:space="preserve"> un montante total de </w:t>
      </w:r>
      <w:r w:rsidR="003331F4" w:rsidRPr="00BF09E9">
        <w:rPr>
          <w:iCs/>
          <w:lang w:val="es-ES"/>
        </w:rPr>
        <w:t>1</w:t>
      </w:r>
      <w:r w:rsidR="007C697D" w:rsidRPr="00BF09E9">
        <w:rPr>
          <w:iCs/>
          <w:lang w:val="es-ES"/>
        </w:rPr>
        <w:t>63</w:t>
      </w:r>
      <w:r w:rsidR="003331F4" w:rsidRPr="00BF09E9">
        <w:rPr>
          <w:iCs/>
          <w:lang w:val="es-ES"/>
        </w:rPr>
        <w:t xml:space="preserve"> mil euros</w:t>
      </w:r>
      <w:r w:rsidR="00962D25" w:rsidRPr="00BF09E9">
        <w:rPr>
          <w:iCs/>
          <w:lang w:val="es-ES"/>
        </w:rPr>
        <w:t>,</w:t>
      </w:r>
      <w:r w:rsidR="003331F4" w:rsidRPr="00BF09E9">
        <w:rPr>
          <w:iCs/>
          <w:lang w:val="es-ES"/>
        </w:rPr>
        <w:t xml:space="preserve"> correspond</w:t>
      </w:r>
      <w:r w:rsidR="00962D25" w:rsidRPr="00BF09E9">
        <w:rPr>
          <w:iCs/>
          <w:lang w:val="es-ES"/>
        </w:rPr>
        <w:t>i</w:t>
      </w:r>
      <w:r w:rsidR="003331F4" w:rsidRPr="00BF09E9">
        <w:rPr>
          <w:iCs/>
          <w:lang w:val="es-ES"/>
        </w:rPr>
        <w:t>en</w:t>
      </w:r>
      <w:r w:rsidR="00962D25" w:rsidRPr="00BF09E9">
        <w:rPr>
          <w:iCs/>
          <w:lang w:val="es-ES"/>
        </w:rPr>
        <w:t>te</w:t>
      </w:r>
      <w:r w:rsidRPr="00BF09E9">
        <w:rPr>
          <w:iCs/>
          <w:lang w:val="es-ES"/>
        </w:rPr>
        <w:t xml:space="preserve"> a las facturas pagadas </w:t>
      </w:r>
      <w:r w:rsidR="001D4839" w:rsidRPr="00BF09E9">
        <w:rPr>
          <w:iCs/>
          <w:lang w:val="es-ES"/>
        </w:rPr>
        <w:t xml:space="preserve">en ejercicios anteriores </w:t>
      </w:r>
      <w:r w:rsidRPr="00BF09E9">
        <w:rPr>
          <w:iCs/>
          <w:lang w:val="es-ES"/>
        </w:rPr>
        <w:t xml:space="preserve">que devienen del citado contrato. </w:t>
      </w:r>
      <w:r w:rsidR="00BF09E9" w:rsidRPr="00BF09E9">
        <w:rPr>
          <w:iCs/>
          <w:lang w:val="es-ES"/>
        </w:rPr>
        <w:t>A su vez el tercero contest</w:t>
      </w:r>
      <w:r w:rsidR="00B10EDB">
        <w:rPr>
          <w:iCs/>
          <w:lang w:val="es-ES"/>
        </w:rPr>
        <w:t>ó</w:t>
      </w:r>
      <w:r w:rsidR="00BF09E9" w:rsidRPr="00BF09E9">
        <w:rPr>
          <w:iCs/>
          <w:lang w:val="es-ES"/>
        </w:rPr>
        <w:t xml:space="preserve"> ejercitando demanda reconvencional, reclamando a su vez a la Sociedad la cantidad de 331.289,49 euros. </w:t>
      </w:r>
    </w:p>
    <w:p w14:paraId="35108681" w14:textId="77777777" w:rsidR="00711024" w:rsidRDefault="00711024" w:rsidP="0037342A">
      <w:pPr>
        <w:autoSpaceDE w:val="0"/>
        <w:autoSpaceDN w:val="0"/>
        <w:adjustRightInd w:val="0"/>
        <w:rPr>
          <w:iCs/>
          <w:lang w:val="es-ES"/>
        </w:rPr>
      </w:pPr>
    </w:p>
    <w:p w14:paraId="100FFF8B" w14:textId="411384D2" w:rsidR="00711024" w:rsidRDefault="00711024" w:rsidP="0037342A">
      <w:pPr>
        <w:autoSpaceDE w:val="0"/>
        <w:autoSpaceDN w:val="0"/>
        <w:adjustRightInd w:val="0"/>
        <w:rPr>
          <w:iCs/>
          <w:lang w:val="es-ES"/>
        </w:rPr>
      </w:pPr>
      <w:r>
        <w:rPr>
          <w:iCs/>
          <w:lang w:val="es-ES"/>
        </w:rPr>
        <w:t>Con fecha 27 de marzo de 2023 se</w:t>
      </w:r>
      <w:r w:rsidR="001925E0">
        <w:rPr>
          <w:iCs/>
          <w:lang w:val="es-ES"/>
        </w:rPr>
        <w:t xml:space="preserve"> </w:t>
      </w:r>
      <w:r>
        <w:rPr>
          <w:iCs/>
          <w:lang w:val="es-ES"/>
        </w:rPr>
        <w:t xml:space="preserve">dictó sentencia desestimando la demanda de la Sociedad y estimando parcialmente la del contratista, condenando a la Sociedad a pagar 280.998,55 euros. La Sociedad </w:t>
      </w:r>
      <w:r w:rsidR="00B10EDB">
        <w:rPr>
          <w:iCs/>
          <w:lang w:val="es-ES"/>
        </w:rPr>
        <w:t>recurrió</w:t>
      </w:r>
      <w:r>
        <w:rPr>
          <w:iCs/>
          <w:lang w:val="es-ES"/>
        </w:rPr>
        <w:t xml:space="preserve"> la sentencia y, junto a sus asesores externos, califica la probabilidad de que la sentencia sea firme como probable, por lo que se ha registrado una provisión al 31 de diciembre de 202</w:t>
      </w:r>
      <w:r w:rsidR="00426BCB">
        <w:rPr>
          <w:iCs/>
          <w:lang w:val="es-ES"/>
        </w:rPr>
        <w:t>4</w:t>
      </w:r>
      <w:r>
        <w:rPr>
          <w:iCs/>
          <w:lang w:val="es-ES"/>
        </w:rPr>
        <w:t xml:space="preserve">, por importe de </w:t>
      </w:r>
      <w:r w:rsidR="00426BCB">
        <w:rPr>
          <w:iCs/>
          <w:lang w:val="es-ES"/>
        </w:rPr>
        <w:t>385.112,42 euros (</w:t>
      </w:r>
      <w:r>
        <w:rPr>
          <w:iCs/>
          <w:lang w:val="es-ES"/>
        </w:rPr>
        <w:t>343.515,98 euros</w:t>
      </w:r>
      <w:r w:rsidR="00426BCB">
        <w:rPr>
          <w:iCs/>
          <w:lang w:val="es-ES"/>
        </w:rPr>
        <w:t xml:space="preserve"> al 31 de diciembre de 2023)</w:t>
      </w:r>
      <w:r>
        <w:rPr>
          <w:iCs/>
          <w:lang w:val="es-ES"/>
        </w:rPr>
        <w:t>, correspondiente a los importes pagados de los cuales no se había registrado el gasto al entender que eran recuperables además del importe de la sentencia.</w:t>
      </w:r>
    </w:p>
    <w:p w14:paraId="161BA5A9" w14:textId="7A69A6FC" w:rsidR="0046702E" w:rsidRPr="001D2C97" w:rsidRDefault="009B42D9" w:rsidP="00140116">
      <w:pPr>
        <w:spacing w:before="480"/>
        <w:rPr>
          <w:rFonts w:cs="Arial"/>
          <w:b/>
        </w:rPr>
      </w:pPr>
      <w:bookmarkStart w:id="66" w:name="_Hlk943521"/>
      <w:bookmarkEnd w:id="64"/>
      <w:bookmarkEnd w:id="65"/>
      <w:r w:rsidRPr="001D2C97">
        <w:rPr>
          <w:rFonts w:cs="Arial"/>
          <w:b/>
        </w:rPr>
        <w:lastRenderedPageBreak/>
        <w:t>15</w:t>
      </w:r>
      <w:r w:rsidR="0046702E" w:rsidRPr="001D2C97">
        <w:rPr>
          <w:rFonts w:cs="Arial"/>
          <w:b/>
        </w:rPr>
        <w:t>.</w:t>
      </w:r>
      <w:r w:rsidR="0046702E" w:rsidRPr="001D2C97">
        <w:rPr>
          <w:rFonts w:cs="Arial"/>
          <w:b/>
        </w:rPr>
        <w:tab/>
        <w:t>SITUACIÓN FISCAL</w:t>
      </w:r>
    </w:p>
    <w:p w14:paraId="6AD1FF4C" w14:textId="5BAF7F98" w:rsidR="0021214F" w:rsidRPr="00C83672" w:rsidRDefault="00D45ACF" w:rsidP="0021214F">
      <w:pPr>
        <w:spacing w:before="240"/>
        <w:rPr>
          <w:rFonts w:cs="Arial"/>
        </w:rPr>
      </w:pPr>
      <w:r w:rsidRPr="00C83672">
        <w:rPr>
          <w:rFonts w:cs="Arial"/>
        </w:rPr>
        <w:t>El detalle de los saldos relativos a activos fiscales y pasivos fiscales al 31 de diciembre es el siguiente:</w:t>
      </w:r>
    </w:p>
    <w:p w14:paraId="4A2C871B" w14:textId="4A839E9C" w:rsidR="00C83672" w:rsidRPr="00BA44A6" w:rsidRDefault="000C06D5" w:rsidP="00C83672">
      <w:pPr>
        <w:spacing w:before="240"/>
        <w:jc w:val="center"/>
        <w:rPr>
          <w:rFonts w:cs="Arial"/>
          <w:highlight w:val="yellow"/>
        </w:rPr>
      </w:pPr>
      <w:r w:rsidRPr="00C83672">
        <w:rPr>
          <w:rFonts w:cs="Arial"/>
        </w:rPr>
        <w:fldChar w:fldCharType="begin"/>
      </w:r>
      <w:r w:rsidRPr="00C83672">
        <w:rPr>
          <w:rFonts w:cs="Arial"/>
        </w:rPr>
        <w:instrText xml:space="preserve"> LINK Excel.Sheet.12 "C:\\Users\\josejimman\\Documents\\JOSE MARIA JIMENEZ\\2 FINANCIERO\\CIERRES\\2024\\CUENTAS ANUALES 2024\\Copia de cuadros CCAA 16_.xlsx!Hoja1!F1C1:F15C3" "" \a \p \* MERGEFORMAT </w:instrText>
      </w:r>
      <w:r w:rsidRPr="00C83672">
        <w:rPr>
          <w:rFonts w:cs="Arial"/>
        </w:rPr>
        <w:fldChar w:fldCharType="separate"/>
      </w:r>
      <w:r w:rsidRPr="00C83672">
        <w:rPr>
          <w:rFonts w:cs="Arial"/>
        </w:rPr>
        <w:object w:dxaOrig="6390" w:dyaOrig="3795" w14:anchorId="2CFC40E4">
          <v:shape id="_x0000_i1049" type="#_x0000_t75" style="width:319.8pt;height:195.45pt" o:ole="">
            <v:imagedata r:id="rId66" o:title=""/>
          </v:shape>
        </w:object>
      </w:r>
      <w:r w:rsidRPr="00C83672">
        <w:rPr>
          <w:rFonts w:cs="Arial"/>
        </w:rPr>
        <w:fldChar w:fldCharType="end"/>
      </w:r>
    </w:p>
    <w:p w14:paraId="4D3046F7" w14:textId="0F6BA583" w:rsidR="007279CF" w:rsidRDefault="00D45ACF" w:rsidP="007279CF">
      <w:pPr>
        <w:spacing w:before="240"/>
        <w:rPr>
          <w:rFonts w:cs="Arial"/>
        </w:rPr>
      </w:pPr>
      <w:r w:rsidRPr="006D0ED5">
        <w:rPr>
          <w:rFonts w:cs="Arial"/>
        </w:rPr>
        <w:t>Según las disposiciones legales vigentes, las liquidaciones</w:t>
      </w:r>
      <w:r w:rsidRPr="001B0D41">
        <w:rPr>
          <w:rFonts w:cs="Arial"/>
        </w:rPr>
        <w:t xml:space="preserve"> de impuestos no pueden considerarse definitivas hasta que no hayan sido inspeccionadas por las autoridades fiscales o haya transcurrido el plazo de prescripción, actualmente establecido en cuatro años. La Sociedad tiene abiertos a inspección los cuatro últimos ejercicios para todos los impuestos que le son aplicables. En opinión de los Administradores de la Sociedad, no existen contingencias fiscales de importes significativos que pudieran derivarse, en caso de inspección, de posibles interpretaciones diferentes de la normativa fiscal aplicable a las operaciones realizadas por la Sociedad.</w:t>
      </w:r>
    </w:p>
    <w:p w14:paraId="30C9DA2D" w14:textId="235AEDFB" w:rsidR="00F660E4" w:rsidRDefault="00F660E4" w:rsidP="007279CF">
      <w:pPr>
        <w:spacing w:before="240"/>
        <w:rPr>
          <w:rFonts w:cs="Arial"/>
        </w:rPr>
      </w:pPr>
      <w:r>
        <w:rPr>
          <w:rFonts w:cs="Arial"/>
        </w:rPr>
        <w:t>La Sociedad</w:t>
      </w:r>
      <w:r w:rsidR="00536C67">
        <w:rPr>
          <w:rFonts w:cs="Arial"/>
        </w:rPr>
        <w:t>, durante el ejercicio 2024, ha recibido y transferido fondos como entidad colaboradora en la entrega y distribución de diversas ayudas. A continuación, se detallan estas operaciones:</w:t>
      </w:r>
    </w:p>
    <w:p w14:paraId="13EB3930" w14:textId="77777777" w:rsidR="003E640A" w:rsidRDefault="003E640A" w:rsidP="00F660E4">
      <w:pPr>
        <w:spacing w:before="240"/>
        <w:jc w:val="left"/>
        <w:rPr>
          <w:rFonts w:eastAsia="Calibri" w:cs="Arial"/>
          <w:i/>
          <w:iCs/>
          <w:szCs w:val="20"/>
          <w:lang w:val="es-ES" w:eastAsia="es-ES"/>
        </w:rPr>
      </w:pPr>
    </w:p>
    <w:p w14:paraId="61966038" w14:textId="0A4854D6" w:rsidR="00F660E4" w:rsidRPr="00F660E4" w:rsidRDefault="00F660E4" w:rsidP="00F660E4">
      <w:pPr>
        <w:spacing w:before="240"/>
        <w:jc w:val="left"/>
        <w:rPr>
          <w:rFonts w:eastAsia="Calibri" w:cs="Arial"/>
          <w:i/>
          <w:iCs/>
          <w:szCs w:val="20"/>
          <w:lang w:val="es-ES" w:eastAsia="es-ES"/>
        </w:rPr>
      </w:pPr>
      <w:r w:rsidRPr="00F660E4">
        <w:rPr>
          <w:rFonts w:eastAsia="Calibri" w:cs="Arial"/>
          <w:i/>
          <w:iCs/>
          <w:szCs w:val="20"/>
          <w:lang w:val="es-ES" w:eastAsia="es-ES"/>
        </w:rPr>
        <w:t>POSEI Agricultura Campaña 2022</w:t>
      </w:r>
    </w:p>
    <w:p w14:paraId="60F6223A" w14:textId="24D07DD9"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Con fecha 14 de noviembre de 2023 se firm</w:t>
      </w:r>
      <w:r w:rsidR="00111CAF">
        <w:rPr>
          <w:rFonts w:eastAsia="Calibri" w:cs="Arial"/>
          <w:szCs w:val="20"/>
          <w:lang w:val="es-ES" w:eastAsia="es-ES"/>
        </w:rPr>
        <w:t>ó</w:t>
      </w:r>
      <w:r w:rsidRPr="00F660E4">
        <w:rPr>
          <w:rFonts w:eastAsia="Calibri" w:cs="Arial"/>
          <w:szCs w:val="20"/>
          <w:lang w:val="es-ES" w:eastAsia="es-ES"/>
        </w:rPr>
        <w:t xml:space="preserve"> convenio de colaboración entre la Consejería de Agricultura, Ganadería, Pesca y Soberanía Alimentaria y la Sociedad</w:t>
      </w:r>
      <w:r w:rsidR="00EA73D3" w:rsidRPr="003214BE">
        <w:rPr>
          <w:rFonts w:eastAsia="Calibri" w:cs="Arial"/>
          <w:szCs w:val="20"/>
          <w:lang w:val="es-ES" w:eastAsia="es-ES"/>
        </w:rPr>
        <w:t>,</w:t>
      </w:r>
      <w:r w:rsidRPr="00F660E4">
        <w:rPr>
          <w:rFonts w:eastAsia="Calibri" w:cs="Arial"/>
          <w:szCs w:val="20"/>
          <w:lang w:val="es-ES" w:eastAsia="es-ES"/>
        </w:rPr>
        <w:t xml:space="preserve"> por el que se encarga a la sociedad Mercantil Pública Gestión del Medio Rural de Canarias, SAU (GMR), como medio propio de la Consejería de Agricultura, Ganadería, Pesca y Soberanía Alimentaria para que ejerza de entidad colaboradora en la entrega y distribución de las ayudas de estado para la campaña 2022 y se aprueban las bases que han de regir la misma, convocadas por Orden de 26 de mayo de 2023 (BOC núm. 111, de 9 de junio).</w:t>
      </w:r>
    </w:p>
    <w:p w14:paraId="5D8BFBC3" w14:textId="77777777"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 xml:space="preserve">El 26 de diciembre de 2023 se firma adenda donde se añade también la Orden de 19 de diciembre de 2023, por la que se convocan las ayudas de Estado con financiación adicional extraordinaria a las medidas que componen el Programa Comunitario de Apoyo a las Producciones Agrarias de Canarias, reguladas en las bases aprobadas por Orden de la Consejería de Agricultura, Ganadería, Pesca y Soberanía Alimentaria, de 24 de mayo de 2019 (B.O.C nº 109, 10.06.2019), referidas a la campaña 2022, para las acciones y subacciones que se determinaron en el resuelvo tercero de la citada Orden, susceptibles de abono del complemento de la ayuda. </w:t>
      </w:r>
    </w:p>
    <w:p w14:paraId="5E4648DF" w14:textId="38497B6B" w:rsidR="00F660E4" w:rsidRPr="003E640A" w:rsidRDefault="00F660E4" w:rsidP="00F660E4">
      <w:pPr>
        <w:spacing w:before="240"/>
        <w:rPr>
          <w:rFonts w:eastAsia="Calibri" w:cs="Arial"/>
          <w:szCs w:val="20"/>
          <w:lang w:val="es-ES" w:eastAsia="es-ES"/>
        </w:rPr>
      </w:pPr>
      <w:r w:rsidRPr="003E640A">
        <w:rPr>
          <w:rFonts w:eastAsia="Calibri" w:cs="Arial"/>
          <w:szCs w:val="20"/>
          <w:lang w:val="es-ES" w:eastAsia="es-ES"/>
        </w:rPr>
        <w:t>La Sociedad recibi</w:t>
      </w:r>
      <w:r w:rsidR="00111CAF" w:rsidRPr="003E640A">
        <w:rPr>
          <w:rFonts w:eastAsia="Calibri" w:cs="Arial"/>
          <w:szCs w:val="20"/>
          <w:lang w:val="es-ES" w:eastAsia="es-ES"/>
        </w:rPr>
        <w:t>ó</w:t>
      </w:r>
      <w:r w:rsidRPr="003E640A">
        <w:rPr>
          <w:rFonts w:eastAsia="Calibri" w:cs="Arial"/>
          <w:szCs w:val="20"/>
          <w:lang w:val="es-ES" w:eastAsia="es-ES"/>
        </w:rPr>
        <w:t xml:space="preserve"> 22.869.188,56 euros en 2022, transfiriendo </w:t>
      </w:r>
      <w:r w:rsidR="00111CAF" w:rsidRPr="003E640A">
        <w:rPr>
          <w:rFonts w:eastAsia="Calibri" w:cs="Arial"/>
          <w:szCs w:val="20"/>
          <w:lang w:val="es-ES" w:eastAsia="es-ES"/>
        </w:rPr>
        <w:t xml:space="preserve">durante el año 2023 un importe de </w:t>
      </w:r>
      <w:r w:rsidRPr="003E640A">
        <w:rPr>
          <w:rFonts w:eastAsia="Calibri" w:cs="Arial"/>
          <w:szCs w:val="20"/>
          <w:lang w:val="es-ES" w:eastAsia="es-ES"/>
        </w:rPr>
        <w:t xml:space="preserve">22.861.714,99 euros a los beneficiarios. El resto, por importe de 7.473,57 euros, </w:t>
      </w:r>
      <w:r w:rsidR="00111CAF" w:rsidRPr="003E640A">
        <w:rPr>
          <w:rFonts w:eastAsia="Calibri" w:cs="Arial"/>
          <w:szCs w:val="20"/>
          <w:lang w:val="es-ES" w:eastAsia="es-ES"/>
        </w:rPr>
        <w:t>ha sido reintegrado durante el año 2024</w:t>
      </w:r>
      <w:r w:rsidRPr="003E640A">
        <w:rPr>
          <w:rFonts w:eastAsia="Calibri" w:cs="Arial"/>
          <w:szCs w:val="20"/>
          <w:lang w:val="es-ES" w:eastAsia="es-ES"/>
        </w:rPr>
        <w:t>.</w:t>
      </w:r>
    </w:p>
    <w:p w14:paraId="49667578" w14:textId="03984B17" w:rsidR="00F660E4" w:rsidRPr="00F660E4" w:rsidRDefault="00EA73D3" w:rsidP="00F660E4">
      <w:pPr>
        <w:spacing w:before="240"/>
        <w:rPr>
          <w:rFonts w:eastAsia="Calibri" w:cs="Arial"/>
          <w:szCs w:val="20"/>
          <w:lang w:val="es-ES" w:eastAsia="es-ES"/>
        </w:rPr>
      </w:pPr>
      <w:r w:rsidRPr="003E640A">
        <w:rPr>
          <w:rFonts w:eastAsia="Calibri" w:cs="Arial"/>
          <w:szCs w:val="20"/>
          <w:lang w:val="es-ES" w:eastAsia="es-ES"/>
        </w:rPr>
        <w:lastRenderedPageBreak/>
        <w:t xml:space="preserve">A esta cantidad se añade </w:t>
      </w:r>
      <w:r w:rsidR="00F660E4" w:rsidRPr="003E640A">
        <w:rPr>
          <w:rFonts w:eastAsia="Calibri" w:cs="Arial"/>
          <w:szCs w:val="20"/>
          <w:lang w:val="es-ES" w:eastAsia="es-ES"/>
        </w:rPr>
        <w:t xml:space="preserve">una transferencia </w:t>
      </w:r>
      <w:r w:rsidRPr="003E640A">
        <w:rPr>
          <w:rFonts w:eastAsia="Calibri" w:cs="Arial"/>
          <w:szCs w:val="20"/>
          <w:lang w:val="es-ES" w:eastAsia="es-ES"/>
        </w:rPr>
        <w:t xml:space="preserve">recibida </w:t>
      </w:r>
      <w:r w:rsidR="00F660E4" w:rsidRPr="003E640A">
        <w:rPr>
          <w:rFonts w:eastAsia="Calibri" w:cs="Arial"/>
          <w:szCs w:val="20"/>
          <w:lang w:val="es-ES" w:eastAsia="es-ES"/>
        </w:rPr>
        <w:t xml:space="preserve">el día 20 de marzo de 2024 por importe de 673.100,60 € para la distribución de ayudas contempladas en el convenio. </w:t>
      </w:r>
      <w:r w:rsidRPr="003E640A">
        <w:rPr>
          <w:rFonts w:eastAsia="Calibri" w:cs="Arial"/>
          <w:szCs w:val="20"/>
          <w:lang w:val="es-ES" w:eastAsia="es-ES"/>
        </w:rPr>
        <w:t>Durante 2024 la Sociedad h</w:t>
      </w:r>
      <w:r w:rsidR="00F660E4" w:rsidRPr="003E640A">
        <w:rPr>
          <w:rFonts w:eastAsia="Calibri" w:cs="Arial"/>
          <w:szCs w:val="20"/>
          <w:lang w:val="es-ES" w:eastAsia="es-ES"/>
        </w:rPr>
        <w:t xml:space="preserve">a transferido 358.965,74 euros. El resto, por importe de 321.608,43 fue reintegrado a la Consejería de Agricultura, Ganadería, Pesca y Soberanía </w:t>
      </w:r>
      <w:r w:rsidRPr="003E640A">
        <w:rPr>
          <w:rFonts w:eastAsia="Calibri" w:cs="Arial"/>
          <w:szCs w:val="20"/>
          <w:lang w:val="es-ES" w:eastAsia="es-ES"/>
        </w:rPr>
        <w:t>A</w:t>
      </w:r>
      <w:r w:rsidR="00F660E4" w:rsidRPr="003E640A">
        <w:rPr>
          <w:rFonts w:eastAsia="Calibri" w:cs="Arial"/>
          <w:szCs w:val="20"/>
          <w:lang w:val="es-ES" w:eastAsia="es-ES"/>
        </w:rPr>
        <w:t>limentaria el día 14 de noviembre de 2024.</w:t>
      </w:r>
    </w:p>
    <w:p w14:paraId="7AB549FE" w14:textId="77777777" w:rsidR="00F660E4" w:rsidRPr="00F660E4" w:rsidRDefault="00F660E4" w:rsidP="00F660E4">
      <w:pPr>
        <w:spacing w:before="240"/>
        <w:rPr>
          <w:rFonts w:ascii="Calibri" w:eastAsia="Calibri" w:hAnsi="Calibri" w:cs="Calibri"/>
          <w:sz w:val="22"/>
          <w:szCs w:val="22"/>
          <w:lang w:val="es-ES" w:eastAsia="es-ES"/>
        </w:rPr>
      </w:pPr>
    </w:p>
    <w:tbl>
      <w:tblPr>
        <w:tblW w:w="8560" w:type="dxa"/>
        <w:jc w:val="center"/>
        <w:tblCellMar>
          <w:left w:w="70" w:type="dxa"/>
          <w:right w:w="70" w:type="dxa"/>
        </w:tblCellMar>
        <w:tblLook w:val="04A0" w:firstRow="1" w:lastRow="0" w:firstColumn="1" w:lastColumn="0" w:noHBand="0" w:noVBand="1"/>
      </w:tblPr>
      <w:tblGrid>
        <w:gridCol w:w="1258"/>
        <w:gridCol w:w="1189"/>
        <w:gridCol w:w="1189"/>
        <w:gridCol w:w="961"/>
        <w:gridCol w:w="976"/>
        <w:gridCol w:w="961"/>
        <w:gridCol w:w="1021"/>
        <w:gridCol w:w="1009"/>
      </w:tblGrid>
      <w:tr w:rsidR="00111CAF" w:rsidRPr="00F660E4" w14:paraId="773563B9" w14:textId="77777777" w:rsidTr="00F660E4">
        <w:trPr>
          <w:trHeight w:val="722"/>
          <w:jc w:val="center"/>
        </w:trPr>
        <w:tc>
          <w:tcPr>
            <w:tcW w:w="1258" w:type="dxa"/>
            <w:tcBorders>
              <w:top w:val="single" w:sz="4" w:space="0" w:color="auto"/>
              <w:bottom w:val="single" w:sz="4" w:space="0" w:color="auto"/>
            </w:tcBorders>
            <w:shd w:val="clear" w:color="auto" w:fill="D9D9D9"/>
            <w:vAlign w:val="center"/>
            <w:hideMark/>
          </w:tcPr>
          <w:p w14:paraId="17E48778"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 xml:space="preserve">Concepto </w:t>
            </w:r>
          </w:p>
        </w:tc>
        <w:tc>
          <w:tcPr>
            <w:tcW w:w="1189" w:type="dxa"/>
            <w:tcBorders>
              <w:top w:val="single" w:sz="4" w:space="0" w:color="auto"/>
              <w:bottom w:val="single" w:sz="4" w:space="0" w:color="auto"/>
            </w:tcBorders>
            <w:shd w:val="clear" w:color="auto" w:fill="D9D9D9"/>
            <w:hideMark/>
          </w:tcPr>
          <w:p w14:paraId="352DB32D"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años anteriores</w:t>
            </w:r>
          </w:p>
        </w:tc>
        <w:tc>
          <w:tcPr>
            <w:tcW w:w="1189" w:type="dxa"/>
            <w:tcBorders>
              <w:top w:val="single" w:sz="4" w:space="0" w:color="auto"/>
              <w:bottom w:val="single" w:sz="4" w:space="0" w:color="auto"/>
            </w:tcBorders>
            <w:shd w:val="clear" w:color="auto" w:fill="D9D9D9"/>
            <w:hideMark/>
          </w:tcPr>
          <w:p w14:paraId="353FA21C" w14:textId="72EE9E3A"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años anteriores</w:t>
            </w:r>
          </w:p>
        </w:tc>
        <w:tc>
          <w:tcPr>
            <w:tcW w:w="961" w:type="dxa"/>
            <w:tcBorders>
              <w:top w:val="single" w:sz="4" w:space="0" w:color="auto"/>
              <w:bottom w:val="single" w:sz="4" w:space="0" w:color="auto"/>
            </w:tcBorders>
            <w:shd w:val="clear" w:color="auto" w:fill="D9D9D9"/>
            <w:hideMark/>
          </w:tcPr>
          <w:p w14:paraId="653AE110"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en 2024</w:t>
            </w:r>
          </w:p>
        </w:tc>
        <w:tc>
          <w:tcPr>
            <w:tcW w:w="973" w:type="dxa"/>
            <w:tcBorders>
              <w:top w:val="single" w:sz="4" w:space="0" w:color="auto"/>
              <w:bottom w:val="single" w:sz="4" w:space="0" w:color="auto"/>
            </w:tcBorders>
            <w:shd w:val="clear" w:color="auto" w:fill="D9D9D9"/>
            <w:hideMark/>
          </w:tcPr>
          <w:p w14:paraId="1ED91B4D"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en 2024</w:t>
            </w:r>
          </w:p>
        </w:tc>
        <w:tc>
          <w:tcPr>
            <w:tcW w:w="961" w:type="dxa"/>
            <w:tcBorders>
              <w:top w:val="single" w:sz="4" w:space="0" w:color="auto"/>
              <w:bottom w:val="single" w:sz="4" w:space="0" w:color="auto"/>
            </w:tcBorders>
            <w:shd w:val="clear" w:color="auto" w:fill="D9D9D9"/>
            <w:hideMark/>
          </w:tcPr>
          <w:p w14:paraId="09F90F73"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pendiente</w:t>
            </w:r>
            <w:r w:rsidRPr="00F660E4">
              <w:rPr>
                <w:rFonts w:cs="Arial"/>
                <w:b/>
                <w:bCs/>
                <w:color w:val="000000"/>
                <w:sz w:val="16"/>
                <w:szCs w:val="16"/>
                <w:lang w:val="es-ES" w:eastAsia="es-ES"/>
              </w:rPr>
              <w:br/>
              <w:t xml:space="preserve"> 31/12/24</w:t>
            </w:r>
          </w:p>
        </w:tc>
        <w:tc>
          <w:tcPr>
            <w:tcW w:w="1020" w:type="dxa"/>
            <w:tcBorders>
              <w:top w:val="single" w:sz="4" w:space="0" w:color="auto"/>
              <w:bottom w:val="single" w:sz="4" w:space="0" w:color="auto"/>
            </w:tcBorders>
            <w:shd w:val="clear" w:color="auto" w:fill="D9D9D9"/>
            <w:hideMark/>
          </w:tcPr>
          <w:p w14:paraId="32D26447"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reintegrado</w:t>
            </w:r>
            <w:r w:rsidRPr="00F660E4">
              <w:rPr>
                <w:rFonts w:cs="Arial"/>
                <w:b/>
                <w:bCs/>
                <w:color w:val="000000"/>
                <w:sz w:val="16"/>
                <w:szCs w:val="16"/>
                <w:lang w:val="es-ES" w:eastAsia="es-ES"/>
              </w:rPr>
              <w:br/>
            </w:r>
          </w:p>
        </w:tc>
        <w:tc>
          <w:tcPr>
            <w:tcW w:w="1009" w:type="dxa"/>
            <w:tcBorders>
              <w:top w:val="single" w:sz="4" w:space="0" w:color="auto"/>
              <w:bottom w:val="single" w:sz="4" w:space="0" w:color="auto"/>
            </w:tcBorders>
            <w:shd w:val="clear" w:color="auto" w:fill="D9D9D9"/>
            <w:vAlign w:val="center"/>
            <w:hideMark/>
          </w:tcPr>
          <w:p w14:paraId="4C5DC5CB"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Fecha reintegro</w:t>
            </w:r>
          </w:p>
          <w:p w14:paraId="4479D9F5" w14:textId="77777777" w:rsidR="00F660E4" w:rsidRPr="00F660E4" w:rsidRDefault="00F660E4" w:rsidP="00F660E4">
            <w:pPr>
              <w:jc w:val="right"/>
              <w:rPr>
                <w:rFonts w:cs="Arial"/>
                <w:b/>
                <w:bCs/>
                <w:color w:val="000000"/>
                <w:sz w:val="16"/>
                <w:szCs w:val="16"/>
                <w:lang w:val="es-ES" w:eastAsia="es-ES"/>
              </w:rPr>
            </w:pPr>
          </w:p>
          <w:p w14:paraId="11AB6459" w14:textId="77777777" w:rsidR="00F660E4" w:rsidRPr="00F660E4" w:rsidRDefault="00F660E4" w:rsidP="00F660E4">
            <w:pPr>
              <w:jc w:val="right"/>
              <w:rPr>
                <w:rFonts w:cs="Arial"/>
                <w:b/>
                <w:bCs/>
                <w:color w:val="000000"/>
                <w:sz w:val="16"/>
                <w:szCs w:val="16"/>
                <w:lang w:val="es-ES" w:eastAsia="es-ES"/>
              </w:rPr>
            </w:pPr>
          </w:p>
        </w:tc>
      </w:tr>
      <w:tr w:rsidR="00111CAF" w:rsidRPr="00F660E4" w14:paraId="6F8171A2" w14:textId="77777777" w:rsidTr="006F20FE">
        <w:trPr>
          <w:trHeight w:val="679"/>
          <w:jc w:val="center"/>
        </w:trPr>
        <w:tc>
          <w:tcPr>
            <w:tcW w:w="1258" w:type="dxa"/>
            <w:tcBorders>
              <w:top w:val="single" w:sz="4" w:space="0" w:color="auto"/>
            </w:tcBorders>
            <w:shd w:val="clear" w:color="auto" w:fill="auto"/>
            <w:noWrap/>
            <w:vAlign w:val="center"/>
            <w:hideMark/>
          </w:tcPr>
          <w:p w14:paraId="563FB5A7"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POSEI Agricultura campaña 2022</w:t>
            </w:r>
          </w:p>
        </w:tc>
        <w:tc>
          <w:tcPr>
            <w:tcW w:w="1189" w:type="dxa"/>
            <w:tcBorders>
              <w:top w:val="single" w:sz="4" w:space="0" w:color="auto"/>
            </w:tcBorders>
            <w:shd w:val="clear" w:color="auto" w:fill="auto"/>
            <w:noWrap/>
            <w:vAlign w:val="center"/>
            <w:hideMark/>
          </w:tcPr>
          <w:p w14:paraId="6528B4D6"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22.869.188,56</w:t>
            </w:r>
          </w:p>
        </w:tc>
        <w:tc>
          <w:tcPr>
            <w:tcW w:w="1189" w:type="dxa"/>
            <w:tcBorders>
              <w:top w:val="single" w:sz="4" w:space="0" w:color="auto"/>
            </w:tcBorders>
            <w:shd w:val="clear" w:color="auto" w:fill="auto"/>
            <w:noWrap/>
            <w:vAlign w:val="center"/>
            <w:hideMark/>
          </w:tcPr>
          <w:p w14:paraId="65AE6888"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22.861.714,99</w:t>
            </w:r>
          </w:p>
        </w:tc>
        <w:tc>
          <w:tcPr>
            <w:tcW w:w="961" w:type="dxa"/>
            <w:tcBorders>
              <w:top w:val="single" w:sz="4" w:space="0" w:color="auto"/>
            </w:tcBorders>
            <w:shd w:val="clear" w:color="auto" w:fill="auto"/>
            <w:noWrap/>
            <w:vAlign w:val="center"/>
            <w:hideMark/>
          </w:tcPr>
          <w:p w14:paraId="6EED0DBC"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673.100,60</w:t>
            </w:r>
          </w:p>
        </w:tc>
        <w:tc>
          <w:tcPr>
            <w:tcW w:w="973" w:type="dxa"/>
            <w:tcBorders>
              <w:top w:val="single" w:sz="4" w:space="0" w:color="auto"/>
            </w:tcBorders>
            <w:shd w:val="clear" w:color="auto" w:fill="auto"/>
            <w:noWrap/>
            <w:vAlign w:val="center"/>
            <w:hideMark/>
          </w:tcPr>
          <w:p w14:paraId="1734C775"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358.965,74</w:t>
            </w:r>
          </w:p>
        </w:tc>
        <w:tc>
          <w:tcPr>
            <w:tcW w:w="961" w:type="dxa"/>
            <w:tcBorders>
              <w:top w:val="single" w:sz="4" w:space="0" w:color="auto"/>
            </w:tcBorders>
            <w:shd w:val="clear" w:color="auto" w:fill="auto"/>
            <w:noWrap/>
            <w:vAlign w:val="center"/>
            <w:hideMark/>
          </w:tcPr>
          <w:p w14:paraId="5ED4852E"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020" w:type="dxa"/>
            <w:tcBorders>
              <w:top w:val="single" w:sz="4" w:space="0" w:color="auto"/>
            </w:tcBorders>
            <w:shd w:val="clear" w:color="auto" w:fill="auto"/>
            <w:noWrap/>
            <w:vAlign w:val="center"/>
            <w:hideMark/>
          </w:tcPr>
          <w:p w14:paraId="1A061FF6"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321.608,43</w:t>
            </w:r>
          </w:p>
        </w:tc>
        <w:tc>
          <w:tcPr>
            <w:tcW w:w="1009" w:type="dxa"/>
            <w:tcBorders>
              <w:top w:val="single" w:sz="4" w:space="0" w:color="auto"/>
            </w:tcBorders>
            <w:shd w:val="clear" w:color="auto" w:fill="auto"/>
            <w:noWrap/>
            <w:vAlign w:val="center"/>
            <w:hideMark/>
          </w:tcPr>
          <w:p w14:paraId="7804E992"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14/11/2024</w:t>
            </w:r>
          </w:p>
        </w:tc>
      </w:tr>
    </w:tbl>
    <w:p w14:paraId="388ADD3E" w14:textId="77777777" w:rsidR="003E640A" w:rsidRDefault="003E640A" w:rsidP="00F660E4">
      <w:pPr>
        <w:spacing w:before="240"/>
        <w:jc w:val="left"/>
        <w:rPr>
          <w:rFonts w:eastAsia="Calibri" w:cs="Arial"/>
          <w:i/>
          <w:iCs/>
          <w:szCs w:val="20"/>
          <w:lang w:val="es-ES" w:eastAsia="es-ES"/>
        </w:rPr>
      </w:pPr>
    </w:p>
    <w:p w14:paraId="36B802EC" w14:textId="41FD96B1" w:rsidR="00F660E4" w:rsidRPr="00F660E4" w:rsidRDefault="00F660E4" w:rsidP="00F660E4">
      <w:pPr>
        <w:spacing w:before="240"/>
        <w:jc w:val="left"/>
        <w:rPr>
          <w:rFonts w:eastAsia="Calibri" w:cs="Arial"/>
          <w:i/>
          <w:iCs/>
          <w:szCs w:val="20"/>
          <w:lang w:val="es-ES" w:eastAsia="es-ES"/>
        </w:rPr>
      </w:pPr>
      <w:r w:rsidRPr="00F660E4">
        <w:rPr>
          <w:rFonts w:eastAsia="Calibri" w:cs="Arial"/>
          <w:i/>
          <w:iCs/>
          <w:szCs w:val="20"/>
          <w:lang w:val="es-ES" w:eastAsia="es-ES"/>
        </w:rPr>
        <w:t>POSEI Agricultura Campaña 2023</w:t>
      </w:r>
    </w:p>
    <w:p w14:paraId="4C54E8E2" w14:textId="7FAB5F9C"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 xml:space="preserve">Con fecha 4 de diciembre de 2024 se publica la resolución Nº: 2616 / 2024 - Tomo: 1 - Libro: 555, por la que se encarga a la Sociedad Mercantil Pública Gestión del Medio Rural de Canarias, SAU (GMR), como medio propio de la Consejería de Agricultura, Ganadería, Pesca y Soberanía Alimentaria para que ejerza de entidad colaboradora en la entrega y distribución de las ayudas de estado para la campaña 2023, convocadas por Orden de 29 de noviembre de 2024. </w:t>
      </w:r>
    </w:p>
    <w:p w14:paraId="7076F513" w14:textId="2F6FEC4F"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 xml:space="preserve">De acuerdo con la cláusula tercera, punto 1 del convenio de colaboración referido, </w:t>
      </w:r>
      <w:r w:rsidR="003214BE">
        <w:rPr>
          <w:rFonts w:eastAsia="Calibri" w:cs="Arial"/>
          <w:szCs w:val="20"/>
          <w:lang w:val="es-ES" w:eastAsia="es-ES"/>
        </w:rPr>
        <w:t>la Sociedad</w:t>
      </w:r>
      <w:r w:rsidRPr="00F660E4">
        <w:rPr>
          <w:rFonts w:eastAsia="Calibri" w:cs="Arial"/>
          <w:szCs w:val="20"/>
          <w:lang w:val="es-ES" w:eastAsia="es-ES"/>
        </w:rPr>
        <w:t xml:space="preserve"> recibió el día 18 de diciembre de 2024, las cantidades de 18.032.213</w:t>
      </w:r>
      <w:r w:rsidR="0010222C">
        <w:rPr>
          <w:rFonts w:eastAsia="Calibri" w:cs="Arial"/>
          <w:szCs w:val="20"/>
          <w:lang w:val="es-ES" w:eastAsia="es-ES"/>
        </w:rPr>
        <w:t>,00</w:t>
      </w:r>
      <w:r w:rsidRPr="00F660E4">
        <w:rPr>
          <w:rFonts w:eastAsia="Calibri" w:cs="Arial"/>
          <w:szCs w:val="20"/>
          <w:lang w:val="es-ES" w:eastAsia="es-ES"/>
        </w:rPr>
        <w:t xml:space="preserve"> € y 8.225.837,36 € para la distribución de las ayudas referidas en la orden citada.</w:t>
      </w:r>
    </w:p>
    <w:p w14:paraId="1EA4C4FA" w14:textId="77777777"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Durante el 2024 la Sociedad ha transferido 26.163.886,83 euros. El resto, por importe de 94.163,53 queda pendiente de distribuir a 31 de diciembre de 2024.</w:t>
      </w:r>
    </w:p>
    <w:p w14:paraId="32257407" w14:textId="77777777" w:rsidR="00F660E4" w:rsidRPr="00F660E4" w:rsidRDefault="00F660E4" w:rsidP="00F660E4">
      <w:pPr>
        <w:spacing w:before="240"/>
        <w:rPr>
          <w:rFonts w:ascii="Calibri" w:eastAsia="Calibri" w:hAnsi="Calibri" w:cs="Calibri"/>
          <w:sz w:val="22"/>
          <w:szCs w:val="22"/>
          <w:lang w:val="es-ES" w:eastAsia="es-ES"/>
        </w:rPr>
      </w:pPr>
    </w:p>
    <w:tbl>
      <w:tblPr>
        <w:tblW w:w="8505" w:type="dxa"/>
        <w:jc w:val="center"/>
        <w:tblCellMar>
          <w:left w:w="70" w:type="dxa"/>
          <w:right w:w="70" w:type="dxa"/>
        </w:tblCellMar>
        <w:tblLook w:val="04A0" w:firstRow="1" w:lastRow="0" w:firstColumn="1" w:lastColumn="0" w:noHBand="0" w:noVBand="1"/>
      </w:tblPr>
      <w:tblGrid>
        <w:gridCol w:w="2049"/>
        <w:gridCol w:w="1221"/>
        <w:gridCol w:w="1290"/>
        <w:gridCol w:w="1429"/>
        <w:gridCol w:w="1429"/>
        <w:gridCol w:w="1087"/>
      </w:tblGrid>
      <w:tr w:rsidR="00F660E4" w:rsidRPr="00F660E4" w14:paraId="58DC4157" w14:textId="77777777" w:rsidTr="00F660E4">
        <w:trPr>
          <w:trHeight w:val="1064"/>
          <w:jc w:val="center"/>
        </w:trPr>
        <w:tc>
          <w:tcPr>
            <w:tcW w:w="2049" w:type="dxa"/>
            <w:tcBorders>
              <w:top w:val="single" w:sz="4" w:space="0" w:color="auto"/>
              <w:bottom w:val="single" w:sz="4" w:space="0" w:color="auto"/>
            </w:tcBorders>
            <w:shd w:val="clear" w:color="auto" w:fill="D9D9D9"/>
            <w:vAlign w:val="center"/>
            <w:hideMark/>
          </w:tcPr>
          <w:p w14:paraId="61E0F5C6"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Concepto</w:t>
            </w:r>
          </w:p>
        </w:tc>
        <w:tc>
          <w:tcPr>
            <w:tcW w:w="1221" w:type="dxa"/>
            <w:tcBorders>
              <w:top w:val="single" w:sz="4" w:space="0" w:color="auto"/>
              <w:bottom w:val="single" w:sz="4" w:space="0" w:color="auto"/>
            </w:tcBorders>
            <w:shd w:val="clear" w:color="auto" w:fill="D9D9D9"/>
            <w:hideMark/>
          </w:tcPr>
          <w:p w14:paraId="0E41A6D7"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años anteriores</w:t>
            </w:r>
          </w:p>
        </w:tc>
        <w:tc>
          <w:tcPr>
            <w:tcW w:w="1290" w:type="dxa"/>
            <w:tcBorders>
              <w:top w:val="single" w:sz="4" w:space="0" w:color="auto"/>
              <w:bottom w:val="single" w:sz="4" w:space="0" w:color="auto"/>
            </w:tcBorders>
            <w:shd w:val="clear" w:color="auto" w:fill="D9D9D9"/>
            <w:hideMark/>
          </w:tcPr>
          <w:p w14:paraId="07AA4DE4"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años anteriores</w:t>
            </w:r>
          </w:p>
        </w:tc>
        <w:tc>
          <w:tcPr>
            <w:tcW w:w="1429" w:type="dxa"/>
            <w:tcBorders>
              <w:top w:val="single" w:sz="4" w:space="0" w:color="auto"/>
              <w:bottom w:val="single" w:sz="4" w:space="0" w:color="auto"/>
            </w:tcBorders>
            <w:shd w:val="clear" w:color="auto" w:fill="D9D9D9"/>
            <w:hideMark/>
          </w:tcPr>
          <w:p w14:paraId="2B7AD7C1"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en 2024</w:t>
            </w:r>
          </w:p>
        </w:tc>
        <w:tc>
          <w:tcPr>
            <w:tcW w:w="1429" w:type="dxa"/>
            <w:tcBorders>
              <w:top w:val="single" w:sz="4" w:space="0" w:color="auto"/>
              <w:bottom w:val="single" w:sz="4" w:space="0" w:color="auto"/>
            </w:tcBorders>
            <w:shd w:val="clear" w:color="auto" w:fill="D9D9D9"/>
            <w:hideMark/>
          </w:tcPr>
          <w:p w14:paraId="22B3DC3C"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en 2024</w:t>
            </w:r>
          </w:p>
        </w:tc>
        <w:tc>
          <w:tcPr>
            <w:tcW w:w="1087" w:type="dxa"/>
            <w:tcBorders>
              <w:top w:val="single" w:sz="4" w:space="0" w:color="auto"/>
              <w:bottom w:val="single" w:sz="4" w:space="0" w:color="auto"/>
            </w:tcBorders>
            <w:shd w:val="clear" w:color="auto" w:fill="D9D9D9"/>
            <w:hideMark/>
          </w:tcPr>
          <w:p w14:paraId="6914AA75"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pendiente</w:t>
            </w:r>
            <w:r w:rsidRPr="00F660E4">
              <w:rPr>
                <w:rFonts w:cs="Arial"/>
                <w:b/>
                <w:bCs/>
                <w:color w:val="000000"/>
                <w:sz w:val="16"/>
                <w:szCs w:val="16"/>
                <w:lang w:val="es-ES" w:eastAsia="es-ES"/>
              </w:rPr>
              <w:br/>
              <w:t xml:space="preserve"> 31/12/24</w:t>
            </w:r>
          </w:p>
        </w:tc>
      </w:tr>
      <w:tr w:rsidR="00F660E4" w:rsidRPr="00F660E4" w14:paraId="4FE8B9DD" w14:textId="77777777" w:rsidTr="006F20FE">
        <w:trPr>
          <w:trHeight w:val="783"/>
          <w:jc w:val="center"/>
        </w:trPr>
        <w:tc>
          <w:tcPr>
            <w:tcW w:w="2049" w:type="dxa"/>
            <w:tcBorders>
              <w:top w:val="single" w:sz="4" w:space="0" w:color="auto"/>
            </w:tcBorders>
            <w:shd w:val="clear" w:color="auto" w:fill="auto"/>
            <w:noWrap/>
            <w:vAlign w:val="center"/>
            <w:hideMark/>
          </w:tcPr>
          <w:p w14:paraId="14C38398"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POSEI Agricultura campaña 2023</w:t>
            </w:r>
          </w:p>
        </w:tc>
        <w:tc>
          <w:tcPr>
            <w:tcW w:w="1221" w:type="dxa"/>
            <w:tcBorders>
              <w:top w:val="single" w:sz="4" w:space="0" w:color="auto"/>
            </w:tcBorders>
            <w:shd w:val="clear" w:color="auto" w:fill="auto"/>
            <w:noWrap/>
            <w:vAlign w:val="center"/>
            <w:hideMark/>
          </w:tcPr>
          <w:p w14:paraId="2B9C21A8"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290" w:type="dxa"/>
            <w:tcBorders>
              <w:top w:val="single" w:sz="4" w:space="0" w:color="auto"/>
            </w:tcBorders>
            <w:shd w:val="clear" w:color="auto" w:fill="auto"/>
            <w:noWrap/>
            <w:vAlign w:val="center"/>
            <w:hideMark/>
          </w:tcPr>
          <w:p w14:paraId="1FC3EFCB"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429" w:type="dxa"/>
            <w:tcBorders>
              <w:top w:val="single" w:sz="4" w:space="0" w:color="auto"/>
            </w:tcBorders>
            <w:shd w:val="clear" w:color="auto" w:fill="auto"/>
            <w:noWrap/>
            <w:vAlign w:val="center"/>
            <w:hideMark/>
          </w:tcPr>
          <w:p w14:paraId="3AD2F658"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26.258.050,36</w:t>
            </w:r>
          </w:p>
        </w:tc>
        <w:tc>
          <w:tcPr>
            <w:tcW w:w="1429" w:type="dxa"/>
            <w:tcBorders>
              <w:top w:val="single" w:sz="4" w:space="0" w:color="auto"/>
            </w:tcBorders>
            <w:shd w:val="clear" w:color="auto" w:fill="auto"/>
            <w:noWrap/>
            <w:vAlign w:val="center"/>
            <w:hideMark/>
          </w:tcPr>
          <w:p w14:paraId="4A415F44"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26.163.886,83</w:t>
            </w:r>
          </w:p>
        </w:tc>
        <w:tc>
          <w:tcPr>
            <w:tcW w:w="1087" w:type="dxa"/>
            <w:tcBorders>
              <w:top w:val="single" w:sz="4" w:space="0" w:color="auto"/>
            </w:tcBorders>
            <w:shd w:val="clear" w:color="auto" w:fill="auto"/>
            <w:noWrap/>
            <w:vAlign w:val="center"/>
            <w:hideMark/>
          </w:tcPr>
          <w:p w14:paraId="48F0909D"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94.163,53</w:t>
            </w:r>
          </w:p>
        </w:tc>
      </w:tr>
    </w:tbl>
    <w:p w14:paraId="28570071" w14:textId="77777777" w:rsidR="003E640A" w:rsidRDefault="003E640A" w:rsidP="00F660E4">
      <w:pPr>
        <w:spacing w:before="240"/>
        <w:rPr>
          <w:rFonts w:eastAsia="Calibri" w:cs="Arial"/>
          <w:i/>
          <w:iCs/>
          <w:szCs w:val="20"/>
          <w:lang w:val="es-ES" w:eastAsia="es-ES"/>
        </w:rPr>
      </w:pPr>
    </w:p>
    <w:p w14:paraId="044D4850" w14:textId="1AFAF35D" w:rsidR="00F660E4" w:rsidRPr="00F660E4" w:rsidRDefault="00F660E4" w:rsidP="00F660E4">
      <w:pPr>
        <w:spacing w:before="240"/>
        <w:rPr>
          <w:rFonts w:eastAsia="Calibri" w:cs="Arial"/>
          <w:i/>
          <w:iCs/>
          <w:szCs w:val="20"/>
          <w:lang w:val="es-ES" w:eastAsia="es-ES"/>
        </w:rPr>
      </w:pPr>
      <w:r w:rsidRPr="00F660E4">
        <w:rPr>
          <w:rFonts w:eastAsia="Calibri" w:cs="Arial"/>
          <w:i/>
          <w:iCs/>
          <w:szCs w:val="20"/>
          <w:lang w:val="es-ES" w:eastAsia="es-ES"/>
        </w:rPr>
        <w:t>Ayudas UCRANIA</w:t>
      </w:r>
    </w:p>
    <w:p w14:paraId="23DBC9DB" w14:textId="5873670A"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 xml:space="preserve">Con fecha 19 de diciembre de 2022 se firma un convenio de colaboración que tiene por establecer la colaboración entre la Consejería de Agricultura, Ganadería y Pesca y Gestión del Medio Rural de Canarias S.A.U., en adelante GMR, para la gestión y tramitación de las subvenciones previstas en el Decreto ley 13/2022, de 1 de diciembre, destinadas al mantenimiento del sector ganadero de Canarias con la finalidad de apoyar a dicho sector y paliar de esta manera las dificultades económicas que vienen experimentando a consecuencia de los incrementos de sus costes de producción derivados de la invasión de Ucrania por parte de Rusia, así como la entrega y distribución de los fondos públicos a los beneficiarios de las mismas. </w:t>
      </w:r>
    </w:p>
    <w:p w14:paraId="41DB9127" w14:textId="77777777"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Con fecha 12 de diciembre 2023 se firma una adenda al convenio de colaboración de fecha 19 de diciembre 2022 donde se prorroga la duración de este hasta el 19 de diciembre 2024.</w:t>
      </w:r>
    </w:p>
    <w:p w14:paraId="1F5C60A8" w14:textId="3B9B86FC"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lastRenderedPageBreak/>
        <w:t xml:space="preserve">De acuerdo a la cláusula quinta, apartado d) del convenio de colaboración referido, </w:t>
      </w:r>
      <w:r w:rsidR="003214BE">
        <w:rPr>
          <w:rFonts w:eastAsia="Calibri" w:cs="Arial"/>
          <w:szCs w:val="20"/>
          <w:lang w:val="es-ES" w:eastAsia="es-ES"/>
        </w:rPr>
        <w:t>la Sociedad</w:t>
      </w:r>
      <w:r w:rsidRPr="00F660E4">
        <w:rPr>
          <w:rFonts w:eastAsia="Calibri" w:cs="Arial"/>
          <w:szCs w:val="20"/>
          <w:lang w:val="es-ES" w:eastAsia="es-ES"/>
        </w:rPr>
        <w:t xml:space="preserve"> recibió el día 23 de enero de 2023, una transferencia por importe de 7.709.055,12 euros</w:t>
      </w:r>
      <w:r w:rsidR="003214BE">
        <w:rPr>
          <w:rFonts w:eastAsia="Calibri" w:cs="Arial"/>
          <w:szCs w:val="20"/>
          <w:lang w:val="es-ES" w:eastAsia="es-ES"/>
        </w:rPr>
        <w:t>,</w:t>
      </w:r>
      <w:r w:rsidRPr="00F660E4">
        <w:rPr>
          <w:rFonts w:eastAsia="Calibri" w:cs="Arial"/>
          <w:szCs w:val="20"/>
          <w:lang w:val="es-ES" w:eastAsia="es-ES"/>
        </w:rPr>
        <w:t xml:space="preserve"> para la distribución de las ayudas referidas en la resolución del Director General de Agricultura nº 3098/2021-Tomo 1-Libro:228 de fecha 28/12/2021 publicado en el Tablón de Anuncios Electrónicos de la Comunidad Autónoma de Canarias, y otra transferencia el día 11 de mayo de 2023 por importe de 8.500.000,00 euros para la distribución de las ayudas referidas en la resolución del Director General de Agricultura nº 3098/2021-Tomo 1-Libro:228 de fecha 28/12/2021 publicado en el Tablón de Anuncios Electrónicos de la Comunidad Autónoma de Canarias. </w:t>
      </w:r>
    </w:p>
    <w:p w14:paraId="77184F53" w14:textId="77777777" w:rsidR="0010222C" w:rsidRPr="00F660E4" w:rsidRDefault="0010222C" w:rsidP="0010222C">
      <w:pPr>
        <w:spacing w:before="240"/>
        <w:rPr>
          <w:rFonts w:eastAsia="Calibri" w:cs="Arial"/>
          <w:szCs w:val="20"/>
          <w:lang w:val="es-ES" w:eastAsia="es-ES"/>
        </w:rPr>
      </w:pPr>
      <w:r>
        <w:rPr>
          <w:rFonts w:eastAsia="Calibri" w:cs="Arial"/>
          <w:szCs w:val="20"/>
          <w:lang w:val="es-ES" w:eastAsia="es-ES"/>
        </w:rPr>
        <w:t xml:space="preserve">A esta cantidad se añade </w:t>
      </w:r>
      <w:r w:rsidRPr="00F660E4">
        <w:rPr>
          <w:rFonts w:eastAsia="Calibri" w:cs="Arial"/>
          <w:szCs w:val="20"/>
          <w:lang w:val="es-ES" w:eastAsia="es-ES"/>
        </w:rPr>
        <w:t xml:space="preserve">una transferencia </w:t>
      </w:r>
      <w:r>
        <w:rPr>
          <w:rFonts w:eastAsia="Calibri" w:cs="Arial"/>
          <w:szCs w:val="20"/>
          <w:lang w:val="es-ES" w:eastAsia="es-ES"/>
        </w:rPr>
        <w:t xml:space="preserve">recibida </w:t>
      </w:r>
      <w:r w:rsidRPr="00F660E4">
        <w:rPr>
          <w:rFonts w:eastAsia="Calibri" w:cs="Arial"/>
          <w:szCs w:val="20"/>
          <w:lang w:val="es-ES" w:eastAsia="es-ES"/>
        </w:rPr>
        <w:t>el día 29 de diciembre de 2023</w:t>
      </w:r>
      <w:r>
        <w:rPr>
          <w:rFonts w:eastAsia="Calibri" w:cs="Arial"/>
          <w:szCs w:val="20"/>
          <w:lang w:val="es-ES" w:eastAsia="es-ES"/>
        </w:rPr>
        <w:t>,</w:t>
      </w:r>
      <w:r w:rsidRPr="00F660E4">
        <w:rPr>
          <w:rFonts w:eastAsia="Calibri" w:cs="Arial"/>
          <w:szCs w:val="20"/>
          <w:lang w:val="es-ES" w:eastAsia="es-ES"/>
        </w:rPr>
        <w:t xml:space="preserve"> por importe de 12.338.024,99 €</w:t>
      </w:r>
      <w:r>
        <w:rPr>
          <w:rFonts w:eastAsia="Calibri" w:cs="Arial"/>
          <w:szCs w:val="20"/>
          <w:lang w:val="es-ES" w:eastAsia="es-ES"/>
        </w:rPr>
        <w:t>,</w:t>
      </w:r>
      <w:r w:rsidRPr="00F660E4">
        <w:rPr>
          <w:rFonts w:eastAsia="Calibri" w:cs="Arial"/>
          <w:szCs w:val="20"/>
          <w:lang w:val="es-ES" w:eastAsia="es-ES"/>
        </w:rPr>
        <w:t xml:space="preserve"> para la distribución de ayudas contempladas en el convenio.</w:t>
      </w:r>
    </w:p>
    <w:p w14:paraId="4C698B1A" w14:textId="7D97F336"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La Sociedad transfi</w:t>
      </w:r>
      <w:r w:rsidR="0010222C">
        <w:rPr>
          <w:rFonts w:eastAsia="Calibri" w:cs="Arial"/>
          <w:szCs w:val="20"/>
          <w:lang w:val="es-ES" w:eastAsia="es-ES"/>
        </w:rPr>
        <w:t>rió</w:t>
      </w:r>
      <w:r w:rsidRPr="00F660E4">
        <w:rPr>
          <w:rFonts w:eastAsia="Calibri" w:cs="Arial"/>
          <w:szCs w:val="20"/>
          <w:lang w:val="es-ES" w:eastAsia="es-ES"/>
        </w:rPr>
        <w:t xml:space="preserve"> 15.838.474,47 euros en el 2023. Durante el 2024 la Sociedad ha transferido 11.669.497,91 euros. El resto, por importe de 1.039.107,73 fue reintegrado a la Consejería de Agricultura, Ganadería, Pesca y Soberanía </w:t>
      </w:r>
      <w:r w:rsidR="003214BE">
        <w:rPr>
          <w:rFonts w:eastAsia="Calibri" w:cs="Arial"/>
          <w:szCs w:val="20"/>
          <w:lang w:val="es-ES" w:eastAsia="es-ES"/>
        </w:rPr>
        <w:t>A</w:t>
      </w:r>
      <w:r w:rsidRPr="00F660E4">
        <w:rPr>
          <w:rFonts w:eastAsia="Calibri" w:cs="Arial"/>
          <w:szCs w:val="20"/>
          <w:lang w:val="es-ES" w:eastAsia="es-ES"/>
        </w:rPr>
        <w:t>limentaria el día 12 de diciembre de 2024.</w:t>
      </w:r>
    </w:p>
    <w:p w14:paraId="080A2F74" w14:textId="77777777" w:rsidR="00F660E4" w:rsidRPr="00F660E4" w:rsidRDefault="00F660E4" w:rsidP="00F660E4">
      <w:pPr>
        <w:spacing w:before="240"/>
        <w:rPr>
          <w:rFonts w:ascii="Calibri" w:eastAsia="Calibri" w:hAnsi="Calibri" w:cs="Calibri"/>
          <w:sz w:val="22"/>
          <w:szCs w:val="22"/>
          <w:lang w:val="es-ES" w:eastAsia="es-ES"/>
        </w:rPr>
      </w:pPr>
    </w:p>
    <w:tbl>
      <w:tblPr>
        <w:tblW w:w="8647" w:type="dxa"/>
        <w:jc w:val="center"/>
        <w:tblCellMar>
          <w:left w:w="70" w:type="dxa"/>
          <w:right w:w="70" w:type="dxa"/>
        </w:tblCellMar>
        <w:tblLook w:val="04A0" w:firstRow="1" w:lastRow="0" w:firstColumn="1" w:lastColumn="0" w:noHBand="0" w:noVBand="1"/>
      </w:tblPr>
      <w:tblGrid>
        <w:gridCol w:w="985"/>
        <w:gridCol w:w="1235"/>
        <w:gridCol w:w="1180"/>
        <w:gridCol w:w="763"/>
        <w:gridCol w:w="1180"/>
        <w:gridCol w:w="1089"/>
        <w:gridCol w:w="1089"/>
        <w:gridCol w:w="1145"/>
      </w:tblGrid>
      <w:tr w:rsidR="00F660E4" w:rsidRPr="00F660E4" w14:paraId="7DB73484" w14:textId="77777777" w:rsidTr="00F660E4">
        <w:trPr>
          <w:trHeight w:val="931"/>
          <w:jc w:val="center"/>
        </w:trPr>
        <w:tc>
          <w:tcPr>
            <w:tcW w:w="985" w:type="dxa"/>
            <w:tcBorders>
              <w:top w:val="single" w:sz="4" w:space="0" w:color="auto"/>
              <w:bottom w:val="single" w:sz="4" w:space="0" w:color="auto"/>
            </w:tcBorders>
            <w:shd w:val="clear" w:color="auto" w:fill="D9D9D9"/>
            <w:vAlign w:val="center"/>
            <w:hideMark/>
          </w:tcPr>
          <w:p w14:paraId="09CB21CD"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 xml:space="preserve">Concepto </w:t>
            </w:r>
          </w:p>
        </w:tc>
        <w:tc>
          <w:tcPr>
            <w:tcW w:w="1235" w:type="dxa"/>
            <w:tcBorders>
              <w:top w:val="single" w:sz="4" w:space="0" w:color="auto"/>
              <w:bottom w:val="single" w:sz="4" w:space="0" w:color="auto"/>
            </w:tcBorders>
            <w:shd w:val="clear" w:color="auto" w:fill="D9D9D9"/>
            <w:hideMark/>
          </w:tcPr>
          <w:p w14:paraId="50DC72D7"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años anteriores</w:t>
            </w:r>
          </w:p>
        </w:tc>
        <w:tc>
          <w:tcPr>
            <w:tcW w:w="1180" w:type="dxa"/>
            <w:tcBorders>
              <w:top w:val="single" w:sz="4" w:space="0" w:color="auto"/>
              <w:bottom w:val="single" w:sz="4" w:space="0" w:color="auto"/>
            </w:tcBorders>
            <w:shd w:val="clear" w:color="auto" w:fill="D9D9D9"/>
            <w:hideMark/>
          </w:tcPr>
          <w:p w14:paraId="342E72E1"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años anteriores</w:t>
            </w:r>
          </w:p>
        </w:tc>
        <w:tc>
          <w:tcPr>
            <w:tcW w:w="744" w:type="dxa"/>
            <w:tcBorders>
              <w:top w:val="single" w:sz="4" w:space="0" w:color="auto"/>
              <w:bottom w:val="single" w:sz="4" w:space="0" w:color="auto"/>
            </w:tcBorders>
            <w:shd w:val="clear" w:color="auto" w:fill="D9D9D9"/>
            <w:hideMark/>
          </w:tcPr>
          <w:p w14:paraId="74F9F43B"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en 2024</w:t>
            </w:r>
          </w:p>
        </w:tc>
        <w:tc>
          <w:tcPr>
            <w:tcW w:w="1180" w:type="dxa"/>
            <w:tcBorders>
              <w:top w:val="single" w:sz="4" w:space="0" w:color="auto"/>
              <w:bottom w:val="single" w:sz="4" w:space="0" w:color="auto"/>
            </w:tcBorders>
            <w:shd w:val="clear" w:color="auto" w:fill="D9D9D9"/>
            <w:hideMark/>
          </w:tcPr>
          <w:p w14:paraId="341B7B1D"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en 2024</w:t>
            </w:r>
          </w:p>
        </w:tc>
        <w:tc>
          <w:tcPr>
            <w:tcW w:w="1089" w:type="dxa"/>
            <w:tcBorders>
              <w:top w:val="single" w:sz="4" w:space="0" w:color="auto"/>
              <w:bottom w:val="single" w:sz="4" w:space="0" w:color="auto"/>
            </w:tcBorders>
            <w:shd w:val="clear" w:color="auto" w:fill="D9D9D9"/>
            <w:hideMark/>
          </w:tcPr>
          <w:p w14:paraId="1D4ECECB"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pendiente</w:t>
            </w:r>
            <w:r w:rsidRPr="00F660E4">
              <w:rPr>
                <w:rFonts w:cs="Arial"/>
                <w:b/>
                <w:bCs/>
                <w:color w:val="000000"/>
                <w:sz w:val="16"/>
                <w:szCs w:val="16"/>
                <w:lang w:val="es-ES" w:eastAsia="es-ES"/>
              </w:rPr>
              <w:br/>
              <w:t>31/12/24</w:t>
            </w:r>
          </w:p>
        </w:tc>
        <w:tc>
          <w:tcPr>
            <w:tcW w:w="1089" w:type="dxa"/>
            <w:tcBorders>
              <w:top w:val="single" w:sz="4" w:space="0" w:color="auto"/>
              <w:bottom w:val="single" w:sz="4" w:space="0" w:color="auto"/>
            </w:tcBorders>
            <w:shd w:val="clear" w:color="auto" w:fill="D9D9D9"/>
            <w:hideMark/>
          </w:tcPr>
          <w:p w14:paraId="7360119E"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reintegrado</w:t>
            </w:r>
            <w:r w:rsidRPr="00F660E4">
              <w:rPr>
                <w:rFonts w:cs="Arial"/>
                <w:b/>
                <w:bCs/>
                <w:color w:val="000000"/>
                <w:sz w:val="16"/>
                <w:szCs w:val="16"/>
                <w:lang w:val="es-ES" w:eastAsia="es-ES"/>
              </w:rPr>
              <w:br/>
            </w:r>
          </w:p>
        </w:tc>
        <w:tc>
          <w:tcPr>
            <w:tcW w:w="1145" w:type="dxa"/>
            <w:tcBorders>
              <w:top w:val="single" w:sz="4" w:space="0" w:color="auto"/>
              <w:bottom w:val="single" w:sz="4" w:space="0" w:color="auto"/>
            </w:tcBorders>
            <w:shd w:val="clear" w:color="auto" w:fill="D9D9D9"/>
            <w:vAlign w:val="center"/>
            <w:hideMark/>
          </w:tcPr>
          <w:p w14:paraId="4790CC5D"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Fecha reintegro</w:t>
            </w:r>
          </w:p>
          <w:p w14:paraId="18FCF044" w14:textId="77777777" w:rsidR="00F660E4" w:rsidRPr="00F660E4" w:rsidRDefault="00F660E4" w:rsidP="00F660E4">
            <w:pPr>
              <w:jc w:val="right"/>
              <w:rPr>
                <w:rFonts w:cs="Arial"/>
                <w:b/>
                <w:bCs/>
                <w:color w:val="000000"/>
                <w:sz w:val="16"/>
                <w:szCs w:val="16"/>
                <w:lang w:val="es-ES" w:eastAsia="es-ES"/>
              </w:rPr>
            </w:pPr>
          </w:p>
          <w:p w14:paraId="3A9A2A6F" w14:textId="77777777" w:rsidR="00F660E4" w:rsidRPr="00F660E4" w:rsidRDefault="00F660E4" w:rsidP="00F660E4">
            <w:pPr>
              <w:jc w:val="right"/>
              <w:rPr>
                <w:rFonts w:cs="Arial"/>
                <w:b/>
                <w:bCs/>
                <w:color w:val="000000"/>
                <w:sz w:val="16"/>
                <w:szCs w:val="16"/>
                <w:lang w:val="es-ES" w:eastAsia="es-ES"/>
              </w:rPr>
            </w:pPr>
          </w:p>
          <w:p w14:paraId="475AB3F9" w14:textId="77777777" w:rsidR="00F660E4" w:rsidRPr="00F660E4" w:rsidRDefault="00F660E4" w:rsidP="00F660E4">
            <w:pPr>
              <w:jc w:val="right"/>
              <w:rPr>
                <w:rFonts w:cs="Arial"/>
                <w:b/>
                <w:bCs/>
                <w:color w:val="000000"/>
                <w:sz w:val="16"/>
                <w:szCs w:val="16"/>
                <w:lang w:val="es-ES" w:eastAsia="es-ES"/>
              </w:rPr>
            </w:pPr>
          </w:p>
        </w:tc>
      </w:tr>
      <w:tr w:rsidR="00F660E4" w:rsidRPr="00F660E4" w14:paraId="28769C96" w14:textId="77777777" w:rsidTr="006F20FE">
        <w:trPr>
          <w:trHeight w:val="468"/>
          <w:jc w:val="center"/>
        </w:trPr>
        <w:tc>
          <w:tcPr>
            <w:tcW w:w="985" w:type="dxa"/>
            <w:tcBorders>
              <w:top w:val="single" w:sz="4" w:space="0" w:color="auto"/>
            </w:tcBorders>
            <w:shd w:val="clear" w:color="auto" w:fill="auto"/>
            <w:noWrap/>
            <w:vAlign w:val="center"/>
            <w:hideMark/>
          </w:tcPr>
          <w:p w14:paraId="78669CB8"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Ayudas Ucrania</w:t>
            </w:r>
          </w:p>
        </w:tc>
        <w:tc>
          <w:tcPr>
            <w:tcW w:w="1235" w:type="dxa"/>
            <w:tcBorders>
              <w:top w:val="single" w:sz="4" w:space="0" w:color="auto"/>
            </w:tcBorders>
            <w:shd w:val="clear" w:color="auto" w:fill="auto"/>
            <w:noWrap/>
            <w:vAlign w:val="center"/>
            <w:hideMark/>
          </w:tcPr>
          <w:p w14:paraId="139726EC"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28.547.080,11</w:t>
            </w:r>
          </w:p>
        </w:tc>
        <w:tc>
          <w:tcPr>
            <w:tcW w:w="1180" w:type="dxa"/>
            <w:tcBorders>
              <w:top w:val="single" w:sz="4" w:space="0" w:color="auto"/>
            </w:tcBorders>
            <w:shd w:val="clear" w:color="auto" w:fill="auto"/>
            <w:noWrap/>
            <w:vAlign w:val="center"/>
            <w:hideMark/>
          </w:tcPr>
          <w:p w14:paraId="28BCEAC0"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15.838.474,47</w:t>
            </w:r>
          </w:p>
        </w:tc>
        <w:tc>
          <w:tcPr>
            <w:tcW w:w="744" w:type="dxa"/>
            <w:tcBorders>
              <w:top w:val="single" w:sz="4" w:space="0" w:color="auto"/>
            </w:tcBorders>
            <w:shd w:val="clear" w:color="auto" w:fill="auto"/>
            <w:noWrap/>
            <w:vAlign w:val="center"/>
            <w:hideMark/>
          </w:tcPr>
          <w:p w14:paraId="7286985F"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180" w:type="dxa"/>
            <w:tcBorders>
              <w:top w:val="single" w:sz="4" w:space="0" w:color="auto"/>
            </w:tcBorders>
            <w:shd w:val="clear" w:color="auto" w:fill="auto"/>
            <w:noWrap/>
            <w:vAlign w:val="center"/>
            <w:hideMark/>
          </w:tcPr>
          <w:p w14:paraId="30905F70"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11.669.497,91</w:t>
            </w:r>
          </w:p>
        </w:tc>
        <w:tc>
          <w:tcPr>
            <w:tcW w:w="1089" w:type="dxa"/>
            <w:tcBorders>
              <w:top w:val="single" w:sz="4" w:space="0" w:color="auto"/>
            </w:tcBorders>
            <w:shd w:val="clear" w:color="auto" w:fill="auto"/>
            <w:noWrap/>
            <w:vAlign w:val="center"/>
            <w:hideMark/>
          </w:tcPr>
          <w:p w14:paraId="2DAA06F5" w14:textId="380481A3" w:rsidR="00F660E4" w:rsidRPr="00F660E4" w:rsidRDefault="003214BE" w:rsidP="00F660E4">
            <w:pPr>
              <w:jc w:val="right"/>
              <w:rPr>
                <w:rFonts w:cs="Arial"/>
                <w:color w:val="000000"/>
                <w:sz w:val="16"/>
                <w:szCs w:val="16"/>
                <w:lang w:val="es-ES" w:eastAsia="es-ES"/>
              </w:rPr>
            </w:pPr>
            <w:r>
              <w:rPr>
                <w:rFonts w:cs="Arial"/>
                <w:color w:val="000000"/>
                <w:sz w:val="16"/>
                <w:szCs w:val="16"/>
                <w:lang w:val="es-ES" w:eastAsia="es-ES"/>
              </w:rPr>
              <w:t>0,00</w:t>
            </w:r>
          </w:p>
        </w:tc>
        <w:tc>
          <w:tcPr>
            <w:tcW w:w="1089" w:type="dxa"/>
            <w:tcBorders>
              <w:top w:val="single" w:sz="4" w:space="0" w:color="auto"/>
            </w:tcBorders>
            <w:shd w:val="clear" w:color="auto" w:fill="auto"/>
            <w:noWrap/>
            <w:vAlign w:val="center"/>
            <w:hideMark/>
          </w:tcPr>
          <w:p w14:paraId="6ED9B27A"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1.039.107,73</w:t>
            </w:r>
          </w:p>
        </w:tc>
        <w:tc>
          <w:tcPr>
            <w:tcW w:w="1145" w:type="dxa"/>
            <w:tcBorders>
              <w:top w:val="single" w:sz="4" w:space="0" w:color="auto"/>
            </w:tcBorders>
            <w:shd w:val="clear" w:color="auto" w:fill="auto"/>
            <w:noWrap/>
            <w:vAlign w:val="center"/>
            <w:hideMark/>
          </w:tcPr>
          <w:p w14:paraId="30A0EB7B"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12/12/2024</w:t>
            </w:r>
          </w:p>
        </w:tc>
      </w:tr>
    </w:tbl>
    <w:p w14:paraId="456D621E" w14:textId="77777777" w:rsidR="003E640A" w:rsidRDefault="003E640A" w:rsidP="00F660E4">
      <w:pPr>
        <w:spacing w:before="240"/>
        <w:jc w:val="left"/>
        <w:rPr>
          <w:rFonts w:eastAsia="Calibri" w:cs="Arial"/>
          <w:i/>
          <w:iCs/>
          <w:szCs w:val="20"/>
          <w:lang w:val="es-ES" w:eastAsia="es-ES"/>
        </w:rPr>
      </w:pPr>
    </w:p>
    <w:p w14:paraId="6B7D9F0C" w14:textId="2CB8B7BC" w:rsidR="00F660E4" w:rsidRPr="00F660E4" w:rsidRDefault="00F660E4" w:rsidP="00F660E4">
      <w:pPr>
        <w:spacing w:before="240"/>
        <w:jc w:val="left"/>
        <w:rPr>
          <w:rFonts w:eastAsia="Calibri" w:cs="Arial"/>
          <w:i/>
          <w:iCs/>
          <w:szCs w:val="20"/>
          <w:lang w:val="es-ES" w:eastAsia="es-ES"/>
        </w:rPr>
      </w:pPr>
      <w:r w:rsidRPr="00F660E4">
        <w:rPr>
          <w:rFonts w:eastAsia="Calibri" w:cs="Arial"/>
          <w:i/>
          <w:iCs/>
          <w:szCs w:val="20"/>
          <w:lang w:val="es-ES" w:eastAsia="es-ES"/>
        </w:rPr>
        <w:t>POSEI PESCA CAMPAÑA 2021</w:t>
      </w:r>
    </w:p>
    <w:p w14:paraId="4D4B739D" w14:textId="0055F76E"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 xml:space="preserve">Con fecha 22 de diciembre de 2023 </w:t>
      </w:r>
      <w:r w:rsidR="0010222C">
        <w:rPr>
          <w:rFonts w:eastAsia="Calibri" w:cs="Arial"/>
          <w:szCs w:val="20"/>
          <w:lang w:val="es-ES" w:eastAsia="es-ES"/>
        </w:rPr>
        <w:t xml:space="preserve">se </w:t>
      </w:r>
      <w:r w:rsidRPr="00F660E4">
        <w:rPr>
          <w:rFonts w:eastAsia="Calibri" w:cs="Arial"/>
          <w:szCs w:val="20"/>
          <w:lang w:val="es-ES" w:eastAsia="es-ES"/>
        </w:rPr>
        <w:t>firm</w:t>
      </w:r>
      <w:r w:rsidR="0010222C">
        <w:rPr>
          <w:rFonts w:eastAsia="Calibri" w:cs="Arial"/>
          <w:szCs w:val="20"/>
          <w:lang w:val="es-ES" w:eastAsia="es-ES"/>
        </w:rPr>
        <w:t>ó</w:t>
      </w:r>
      <w:r w:rsidRPr="00F660E4">
        <w:rPr>
          <w:rFonts w:eastAsia="Calibri" w:cs="Arial"/>
          <w:szCs w:val="20"/>
          <w:lang w:val="es-ES" w:eastAsia="es-ES"/>
        </w:rPr>
        <w:t xml:space="preserve"> convenio por el que se encarga a la sociedad mercantil pública Gestión del Medio Rural de Canarias, S.A.U. (GMR Canarias), como medio propio de la Consejería de Agricultura, Ganadería y Pesca para que ejerza como entidad colaboradora de la entrega y distribución de las subvenciones convocadas mediante orden del 7 de diciembre de 2023, destinadas a compensar los costes adicionales soportados por las personas operadoras de determinados productos de la pesca y de la acuicultura de Canarias, previstas en el Fondo Europeo Marítimo de Pesca y acuicultura (FEMPA), para el periodo 2021-2027 cuya concesión se regula mediante Orden del 07 de diciembre de 2023. En base a este convenio, la Sociedad distribuirá dichas subvenciones relativas a la campaña 2021, convocadas en la Orden de 7 de diciembre de 2023 de la Consejería de Agricultura, Ganadería, Pesca y Soberanía alimentaria, por importe de 8.301.886</w:t>
      </w:r>
      <w:r w:rsidR="0010222C">
        <w:rPr>
          <w:rFonts w:eastAsia="Calibri" w:cs="Arial"/>
          <w:szCs w:val="20"/>
          <w:lang w:val="es-ES" w:eastAsia="es-ES"/>
        </w:rPr>
        <w:t>,00</w:t>
      </w:r>
      <w:r w:rsidRPr="00F660E4">
        <w:rPr>
          <w:rFonts w:eastAsia="Calibri" w:cs="Arial"/>
          <w:szCs w:val="20"/>
          <w:lang w:val="es-ES" w:eastAsia="es-ES"/>
        </w:rPr>
        <w:t xml:space="preserve"> euros, recibidos los fondos el 14 de noviembre de 2024.</w:t>
      </w:r>
    </w:p>
    <w:p w14:paraId="629F295F" w14:textId="3B90E07F"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 xml:space="preserve">Durante el 2024 la Sociedad ha transferido 8.284.426,16 euros. El resto, por importe de 17.459,84 fue reintegrado a la Consejería de Agricultura, Ganadería, Pesca y Soberanía </w:t>
      </w:r>
      <w:r w:rsidR="00AB136A">
        <w:rPr>
          <w:rFonts w:eastAsia="Calibri" w:cs="Arial"/>
          <w:szCs w:val="20"/>
          <w:lang w:val="es-ES" w:eastAsia="es-ES"/>
        </w:rPr>
        <w:t>A</w:t>
      </w:r>
      <w:r w:rsidRPr="00F660E4">
        <w:rPr>
          <w:rFonts w:eastAsia="Calibri" w:cs="Arial"/>
          <w:szCs w:val="20"/>
          <w:lang w:val="es-ES" w:eastAsia="es-ES"/>
        </w:rPr>
        <w:t>limentaria el día 19 de diciembre de 2024.</w:t>
      </w:r>
    </w:p>
    <w:p w14:paraId="0F030B77" w14:textId="77777777" w:rsidR="00F660E4" w:rsidRPr="00F660E4" w:rsidRDefault="00F660E4" w:rsidP="00F660E4">
      <w:pPr>
        <w:spacing w:before="240"/>
        <w:rPr>
          <w:rFonts w:eastAsia="Calibri" w:cs="Arial"/>
          <w:szCs w:val="20"/>
          <w:lang w:val="es-ES" w:eastAsia="es-ES"/>
        </w:rPr>
      </w:pPr>
    </w:p>
    <w:tbl>
      <w:tblPr>
        <w:tblW w:w="8647" w:type="dxa"/>
        <w:jc w:val="center"/>
        <w:tblBorders>
          <w:top w:val="single" w:sz="4" w:space="0" w:color="auto"/>
        </w:tblBorders>
        <w:tblCellMar>
          <w:left w:w="70" w:type="dxa"/>
          <w:right w:w="70" w:type="dxa"/>
        </w:tblCellMar>
        <w:tblLook w:val="04A0" w:firstRow="1" w:lastRow="0" w:firstColumn="1" w:lastColumn="0" w:noHBand="0" w:noVBand="1"/>
      </w:tblPr>
      <w:tblGrid>
        <w:gridCol w:w="976"/>
        <w:gridCol w:w="1043"/>
        <w:gridCol w:w="1203"/>
        <w:gridCol w:w="1078"/>
        <w:gridCol w:w="1078"/>
        <w:gridCol w:w="1116"/>
        <w:gridCol w:w="1021"/>
        <w:gridCol w:w="1240"/>
      </w:tblGrid>
      <w:tr w:rsidR="00F660E4" w:rsidRPr="00F660E4" w14:paraId="603DC789" w14:textId="77777777" w:rsidTr="00F660E4">
        <w:trPr>
          <w:trHeight w:val="971"/>
          <w:jc w:val="center"/>
        </w:trPr>
        <w:tc>
          <w:tcPr>
            <w:tcW w:w="887" w:type="dxa"/>
            <w:tcBorders>
              <w:top w:val="single" w:sz="4" w:space="0" w:color="auto"/>
              <w:bottom w:val="single" w:sz="4" w:space="0" w:color="auto"/>
            </w:tcBorders>
            <w:shd w:val="clear" w:color="auto" w:fill="D9D9D9"/>
            <w:vAlign w:val="center"/>
            <w:hideMark/>
          </w:tcPr>
          <w:p w14:paraId="02DB8191"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Concepto</w:t>
            </w:r>
          </w:p>
        </w:tc>
        <w:tc>
          <w:tcPr>
            <w:tcW w:w="1043" w:type="dxa"/>
            <w:tcBorders>
              <w:top w:val="single" w:sz="4" w:space="0" w:color="auto"/>
              <w:bottom w:val="single" w:sz="4" w:space="0" w:color="auto"/>
            </w:tcBorders>
            <w:shd w:val="clear" w:color="auto" w:fill="D9D9D9"/>
            <w:hideMark/>
          </w:tcPr>
          <w:p w14:paraId="3A064708"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años anteriores</w:t>
            </w:r>
          </w:p>
        </w:tc>
        <w:tc>
          <w:tcPr>
            <w:tcW w:w="1203" w:type="dxa"/>
            <w:tcBorders>
              <w:top w:val="single" w:sz="4" w:space="0" w:color="auto"/>
              <w:bottom w:val="single" w:sz="4" w:space="0" w:color="auto"/>
            </w:tcBorders>
            <w:shd w:val="clear" w:color="auto" w:fill="D9D9D9"/>
            <w:hideMark/>
          </w:tcPr>
          <w:p w14:paraId="1DDFCFF5"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años anteriores</w:t>
            </w:r>
          </w:p>
        </w:tc>
        <w:tc>
          <w:tcPr>
            <w:tcW w:w="1078" w:type="dxa"/>
            <w:tcBorders>
              <w:top w:val="single" w:sz="4" w:space="0" w:color="auto"/>
              <w:bottom w:val="single" w:sz="4" w:space="0" w:color="auto"/>
            </w:tcBorders>
            <w:shd w:val="clear" w:color="auto" w:fill="D9D9D9"/>
            <w:hideMark/>
          </w:tcPr>
          <w:p w14:paraId="2E39B083"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en 2024</w:t>
            </w:r>
          </w:p>
        </w:tc>
        <w:tc>
          <w:tcPr>
            <w:tcW w:w="1078" w:type="dxa"/>
            <w:tcBorders>
              <w:top w:val="single" w:sz="4" w:space="0" w:color="auto"/>
              <w:bottom w:val="single" w:sz="4" w:space="0" w:color="auto"/>
            </w:tcBorders>
            <w:shd w:val="clear" w:color="auto" w:fill="D9D9D9"/>
            <w:hideMark/>
          </w:tcPr>
          <w:p w14:paraId="76356881"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en 2024</w:t>
            </w:r>
          </w:p>
        </w:tc>
        <w:tc>
          <w:tcPr>
            <w:tcW w:w="1116" w:type="dxa"/>
            <w:tcBorders>
              <w:top w:val="single" w:sz="4" w:space="0" w:color="auto"/>
              <w:bottom w:val="single" w:sz="4" w:space="0" w:color="auto"/>
            </w:tcBorders>
            <w:shd w:val="clear" w:color="auto" w:fill="D9D9D9"/>
            <w:hideMark/>
          </w:tcPr>
          <w:p w14:paraId="79F711AC"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pendiente</w:t>
            </w:r>
            <w:r w:rsidRPr="00F660E4">
              <w:rPr>
                <w:rFonts w:cs="Arial"/>
                <w:b/>
                <w:bCs/>
                <w:color w:val="000000"/>
                <w:sz w:val="16"/>
                <w:szCs w:val="16"/>
                <w:lang w:val="es-ES" w:eastAsia="es-ES"/>
              </w:rPr>
              <w:br/>
              <w:t>31/12/24</w:t>
            </w:r>
          </w:p>
        </w:tc>
        <w:tc>
          <w:tcPr>
            <w:tcW w:w="1002" w:type="dxa"/>
            <w:tcBorders>
              <w:top w:val="single" w:sz="4" w:space="0" w:color="auto"/>
              <w:bottom w:val="single" w:sz="4" w:space="0" w:color="auto"/>
            </w:tcBorders>
            <w:shd w:val="clear" w:color="auto" w:fill="D9D9D9"/>
            <w:hideMark/>
          </w:tcPr>
          <w:p w14:paraId="166DFA95"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reintegrado</w:t>
            </w:r>
            <w:r w:rsidRPr="00F660E4">
              <w:rPr>
                <w:rFonts w:cs="Arial"/>
                <w:b/>
                <w:bCs/>
                <w:color w:val="000000"/>
                <w:sz w:val="16"/>
                <w:szCs w:val="16"/>
                <w:lang w:val="es-ES" w:eastAsia="es-ES"/>
              </w:rPr>
              <w:br/>
            </w:r>
          </w:p>
        </w:tc>
        <w:tc>
          <w:tcPr>
            <w:tcW w:w="1240" w:type="dxa"/>
            <w:tcBorders>
              <w:top w:val="single" w:sz="4" w:space="0" w:color="auto"/>
              <w:bottom w:val="single" w:sz="4" w:space="0" w:color="auto"/>
            </w:tcBorders>
            <w:shd w:val="clear" w:color="auto" w:fill="D9D9D9"/>
            <w:vAlign w:val="center"/>
            <w:hideMark/>
          </w:tcPr>
          <w:p w14:paraId="1432ECCA"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Fecha reintegro</w:t>
            </w:r>
          </w:p>
          <w:p w14:paraId="00B2BFE1" w14:textId="77777777" w:rsidR="00F660E4" w:rsidRPr="00F660E4" w:rsidRDefault="00F660E4" w:rsidP="00F660E4">
            <w:pPr>
              <w:jc w:val="right"/>
              <w:rPr>
                <w:rFonts w:cs="Arial"/>
                <w:b/>
                <w:bCs/>
                <w:color w:val="000000"/>
                <w:sz w:val="16"/>
                <w:szCs w:val="16"/>
                <w:lang w:val="es-ES" w:eastAsia="es-ES"/>
              </w:rPr>
            </w:pPr>
          </w:p>
          <w:p w14:paraId="6477BA95" w14:textId="77777777" w:rsidR="00F660E4" w:rsidRPr="00F660E4" w:rsidRDefault="00F660E4" w:rsidP="00F660E4">
            <w:pPr>
              <w:jc w:val="right"/>
              <w:rPr>
                <w:rFonts w:cs="Arial"/>
                <w:b/>
                <w:bCs/>
                <w:color w:val="000000"/>
                <w:sz w:val="16"/>
                <w:szCs w:val="16"/>
                <w:lang w:val="es-ES" w:eastAsia="es-ES"/>
              </w:rPr>
            </w:pPr>
          </w:p>
        </w:tc>
      </w:tr>
      <w:tr w:rsidR="00F660E4" w:rsidRPr="00F660E4" w14:paraId="7D2B1397" w14:textId="77777777" w:rsidTr="006F20FE">
        <w:trPr>
          <w:trHeight w:val="823"/>
          <w:jc w:val="center"/>
        </w:trPr>
        <w:tc>
          <w:tcPr>
            <w:tcW w:w="887" w:type="dxa"/>
            <w:tcBorders>
              <w:top w:val="single" w:sz="4" w:space="0" w:color="auto"/>
            </w:tcBorders>
            <w:shd w:val="clear" w:color="auto" w:fill="auto"/>
            <w:noWrap/>
            <w:vAlign w:val="center"/>
            <w:hideMark/>
          </w:tcPr>
          <w:p w14:paraId="3D1CBD2B"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POSEICAN Pesca Campaña 2021</w:t>
            </w:r>
          </w:p>
        </w:tc>
        <w:tc>
          <w:tcPr>
            <w:tcW w:w="1043" w:type="dxa"/>
            <w:tcBorders>
              <w:top w:val="single" w:sz="4" w:space="0" w:color="auto"/>
            </w:tcBorders>
            <w:shd w:val="clear" w:color="auto" w:fill="auto"/>
            <w:noWrap/>
            <w:vAlign w:val="center"/>
            <w:hideMark/>
          </w:tcPr>
          <w:p w14:paraId="1291F1C4"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203" w:type="dxa"/>
            <w:tcBorders>
              <w:top w:val="single" w:sz="4" w:space="0" w:color="auto"/>
            </w:tcBorders>
            <w:shd w:val="clear" w:color="auto" w:fill="auto"/>
            <w:noWrap/>
            <w:vAlign w:val="center"/>
            <w:hideMark/>
          </w:tcPr>
          <w:p w14:paraId="03F4A933"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078" w:type="dxa"/>
            <w:tcBorders>
              <w:top w:val="single" w:sz="4" w:space="0" w:color="auto"/>
            </w:tcBorders>
            <w:shd w:val="clear" w:color="auto" w:fill="auto"/>
            <w:noWrap/>
            <w:vAlign w:val="center"/>
            <w:hideMark/>
          </w:tcPr>
          <w:p w14:paraId="5C0BB775"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8.301.886,00</w:t>
            </w:r>
          </w:p>
        </w:tc>
        <w:tc>
          <w:tcPr>
            <w:tcW w:w="1078" w:type="dxa"/>
            <w:tcBorders>
              <w:top w:val="single" w:sz="4" w:space="0" w:color="auto"/>
            </w:tcBorders>
            <w:shd w:val="clear" w:color="auto" w:fill="auto"/>
            <w:noWrap/>
            <w:vAlign w:val="center"/>
            <w:hideMark/>
          </w:tcPr>
          <w:p w14:paraId="4889EA9B"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8.284.426,16</w:t>
            </w:r>
          </w:p>
        </w:tc>
        <w:tc>
          <w:tcPr>
            <w:tcW w:w="1116" w:type="dxa"/>
            <w:tcBorders>
              <w:top w:val="single" w:sz="4" w:space="0" w:color="auto"/>
            </w:tcBorders>
            <w:shd w:val="clear" w:color="auto" w:fill="auto"/>
            <w:noWrap/>
            <w:vAlign w:val="center"/>
            <w:hideMark/>
          </w:tcPr>
          <w:p w14:paraId="6DFA13BF" w14:textId="02049E9C" w:rsidR="00F660E4" w:rsidRPr="00F660E4" w:rsidRDefault="003214BE" w:rsidP="00F660E4">
            <w:pPr>
              <w:jc w:val="right"/>
              <w:rPr>
                <w:rFonts w:cs="Arial"/>
                <w:color w:val="000000"/>
                <w:sz w:val="16"/>
                <w:szCs w:val="16"/>
                <w:lang w:val="es-ES" w:eastAsia="es-ES"/>
              </w:rPr>
            </w:pPr>
            <w:r>
              <w:rPr>
                <w:rFonts w:cs="Arial"/>
                <w:color w:val="000000"/>
                <w:sz w:val="16"/>
                <w:szCs w:val="16"/>
                <w:lang w:val="es-ES" w:eastAsia="es-ES"/>
              </w:rPr>
              <w:t>0,00</w:t>
            </w:r>
          </w:p>
        </w:tc>
        <w:tc>
          <w:tcPr>
            <w:tcW w:w="1002" w:type="dxa"/>
            <w:tcBorders>
              <w:top w:val="single" w:sz="4" w:space="0" w:color="auto"/>
            </w:tcBorders>
            <w:shd w:val="clear" w:color="auto" w:fill="auto"/>
            <w:noWrap/>
            <w:vAlign w:val="center"/>
            <w:hideMark/>
          </w:tcPr>
          <w:p w14:paraId="2DD4859E"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17.459,84</w:t>
            </w:r>
          </w:p>
        </w:tc>
        <w:tc>
          <w:tcPr>
            <w:tcW w:w="1240" w:type="dxa"/>
            <w:tcBorders>
              <w:top w:val="single" w:sz="4" w:space="0" w:color="auto"/>
            </w:tcBorders>
            <w:shd w:val="clear" w:color="auto" w:fill="auto"/>
            <w:noWrap/>
            <w:vAlign w:val="center"/>
            <w:hideMark/>
          </w:tcPr>
          <w:p w14:paraId="4D16C25C"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19/12/2024</w:t>
            </w:r>
          </w:p>
        </w:tc>
      </w:tr>
    </w:tbl>
    <w:p w14:paraId="6363899E" w14:textId="77777777" w:rsidR="003E640A" w:rsidRDefault="003E640A" w:rsidP="00F660E4">
      <w:pPr>
        <w:spacing w:before="240"/>
        <w:jc w:val="left"/>
        <w:rPr>
          <w:rFonts w:eastAsia="Calibri" w:cs="Arial"/>
          <w:i/>
          <w:iCs/>
          <w:szCs w:val="20"/>
          <w:lang w:val="es-ES" w:eastAsia="es-ES"/>
        </w:rPr>
      </w:pPr>
    </w:p>
    <w:p w14:paraId="23738683" w14:textId="77777777" w:rsidR="003E640A" w:rsidRDefault="003E640A" w:rsidP="00F660E4">
      <w:pPr>
        <w:spacing w:before="240"/>
        <w:jc w:val="left"/>
        <w:rPr>
          <w:rFonts w:eastAsia="Calibri" w:cs="Arial"/>
          <w:i/>
          <w:iCs/>
          <w:szCs w:val="20"/>
          <w:lang w:val="es-ES" w:eastAsia="es-ES"/>
        </w:rPr>
      </w:pPr>
    </w:p>
    <w:p w14:paraId="5269EA8F" w14:textId="7CA36556" w:rsidR="00F660E4" w:rsidRPr="00F660E4" w:rsidRDefault="00F660E4" w:rsidP="00F660E4">
      <w:pPr>
        <w:spacing w:before="240"/>
        <w:jc w:val="left"/>
        <w:rPr>
          <w:rFonts w:eastAsia="Calibri" w:cs="Arial"/>
          <w:i/>
          <w:iCs/>
          <w:szCs w:val="20"/>
          <w:lang w:val="es-ES" w:eastAsia="es-ES"/>
        </w:rPr>
      </w:pPr>
      <w:r w:rsidRPr="00F660E4">
        <w:rPr>
          <w:rFonts w:eastAsia="Calibri" w:cs="Arial"/>
          <w:i/>
          <w:iCs/>
          <w:szCs w:val="20"/>
          <w:lang w:val="es-ES" w:eastAsia="es-ES"/>
        </w:rPr>
        <w:lastRenderedPageBreak/>
        <w:t>Ayudas La Palma.</w:t>
      </w:r>
    </w:p>
    <w:p w14:paraId="7B8AE159" w14:textId="77777777" w:rsidR="00366559" w:rsidRDefault="00F660E4" w:rsidP="00366559">
      <w:pPr>
        <w:spacing w:before="240"/>
        <w:rPr>
          <w:rFonts w:eastAsia="Calibri" w:cs="Arial"/>
          <w:szCs w:val="20"/>
          <w:lang w:val="es-ES" w:eastAsia="es-ES"/>
        </w:rPr>
      </w:pPr>
      <w:r w:rsidRPr="00F660E4">
        <w:rPr>
          <w:rFonts w:eastAsia="Calibri" w:cs="Arial"/>
          <w:szCs w:val="20"/>
          <w:lang w:val="es-ES" w:eastAsia="es-ES"/>
        </w:rPr>
        <w:t xml:space="preserve">Con fecha 23 de julio de 2024 se firma un convenio que tiene por objeto establecer la colaboración entre la </w:t>
      </w:r>
      <w:bookmarkStart w:id="67" w:name="_Hlk177040061"/>
      <w:r w:rsidRPr="00F660E4">
        <w:rPr>
          <w:rFonts w:eastAsia="Calibri" w:cs="Arial"/>
          <w:szCs w:val="20"/>
          <w:lang w:val="es-ES" w:eastAsia="es-ES"/>
        </w:rPr>
        <w:t>Consejería de Presidencia, Administraciones públicas, Justicia y Seguridad</w:t>
      </w:r>
      <w:bookmarkEnd w:id="67"/>
      <w:r w:rsidRPr="00F660E4">
        <w:rPr>
          <w:rFonts w:eastAsia="Calibri" w:cs="Arial"/>
          <w:szCs w:val="20"/>
          <w:lang w:val="es-ES" w:eastAsia="es-ES"/>
        </w:rPr>
        <w:t xml:space="preserve"> y GMR Canarias, para encargar a GMR, como medio propio de la Administración Pública de la Comunidad autónoma de Canarias, para que ejerza como entidad colaboradora en la entrega y distribución de las ayudas directas destinadas a compensar los perjuicios económicos a personas físicas y entidades como consecuencia, directa o indirecta, de la erupción volcánica de la isla de La Palma, cuya concesión se regula en la orden de fecha 2 de julio de 2024 (BOC nº129 del 3 julio de 2024).</w:t>
      </w:r>
    </w:p>
    <w:p w14:paraId="0916A770" w14:textId="47199839" w:rsidR="00F660E4" w:rsidRPr="00F660E4" w:rsidRDefault="00F660E4" w:rsidP="00366559">
      <w:pPr>
        <w:spacing w:before="240"/>
        <w:rPr>
          <w:rFonts w:eastAsia="Calibri" w:cs="Arial"/>
          <w:szCs w:val="20"/>
          <w:lang w:val="es-ES" w:eastAsia="es-ES"/>
        </w:rPr>
      </w:pPr>
      <w:r w:rsidRPr="00F660E4">
        <w:rPr>
          <w:rFonts w:eastAsia="Calibri" w:cs="Arial"/>
          <w:szCs w:val="20"/>
          <w:lang w:val="es-ES" w:eastAsia="es-ES"/>
        </w:rPr>
        <w:t xml:space="preserve">De acuerdo con la cláusula quinta, apartado d) del convenio de colaboración referido, </w:t>
      </w:r>
      <w:r w:rsidR="00366559">
        <w:rPr>
          <w:rFonts w:eastAsia="Calibri" w:cs="Arial"/>
          <w:szCs w:val="20"/>
          <w:lang w:val="es-ES" w:eastAsia="es-ES"/>
        </w:rPr>
        <w:t>la Sociedad</w:t>
      </w:r>
      <w:r w:rsidRPr="00F660E4">
        <w:rPr>
          <w:rFonts w:eastAsia="Calibri" w:cs="Arial"/>
          <w:szCs w:val="20"/>
          <w:lang w:val="es-ES" w:eastAsia="es-ES"/>
        </w:rPr>
        <w:t xml:space="preserve"> ha recibido</w:t>
      </w:r>
      <w:r w:rsidR="00366559">
        <w:rPr>
          <w:rFonts w:eastAsia="Calibri" w:cs="Arial"/>
          <w:szCs w:val="20"/>
          <w:lang w:val="es-ES" w:eastAsia="es-ES"/>
        </w:rPr>
        <w:t>,</w:t>
      </w:r>
      <w:r w:rsidRPr="00F660E4">
        <w:rPr>
          <w:rFonts w:eastAsia="Calibri" w:cs="Arial"/>
          <w:szCs w:val="20"/>
          <w:lang w:val="es-ES" w:eastAsia="es-ES"/>
        </w:rPr>
        <w:t xml:space="preserve"> durante el 2024</w:t>
      </w:r>
      <w:r w:rsidR="00366559">
        <w:rPr>
          <w:rFonts w:eastAsia="Calibri" w:cs="Arial"/>
          <w:szCs w:val="20"/>
          <w:lang w:val="es-ES" w:eastAsia="es-ES"/>
        </w:rPr>
        <w:t>,</w:t>
      </w:r>
      <w:r w:rsidRPr="00F660E4">
        <w:rPr>
          <w:rFonts w:eastAsia="Calibri" w:cs="Arial"/>
          <w:szCs w:val="20"/>
          <w:lang w:val="es-ES" w:eastAsia="es-ES"/>
        </w:rPr>
        <w:t xml:space="preserve"> transferencias por importe global de 43.334.169,52 € para la distribución de las ayudas referidas en las resoluciones de pago del Viceconsejero para la recuperación económica y social de La Palma referidas a las ordenes:</w:t>
      </w:r>
    </w:p>
    <w:p w14:paraId="45223819" w14:textId="77777777" w:rsidR="00F660E4" w:rsidRPr="00F660E4" w:rsidRDefault="00F660E4" w:rsidP="00F660E4">
      <w:pPr>
        <w:rPr>
          <w:rFonts w:eastAsia="Calibri" w:cs="Arial"/>
          <w:szCs w:val="20"/>
          <w:lang w:val="es-ES" w:eastAsia="es-ES"/>
        </w:rPr>
      </w:pPr>
    </w:p>
    <w:p w14:paraId="4CCEEAB4" w14:textId="77777777" w:rsidR="00F660E4" w:rsidRPr="00F660E4" w:rsidRDefault="00F660E4" w:rsidP="00F660E4">
      <w:pPr>
        <w:numPr>
          <w:ilvl w:val="0"/>
          <w:numId w:val="20"/>
        </w:numPr>
        <w:jc w:val="left"/>
        <w:rPr>
          <w:rFonts w:eastAsia="Calibri" w:cs="Arial"/>
          <w:szCs w:val="20"/>
          <w:lang w:val="es-ES" w:eastAsia="es-ES"/>
        </w:rPr>
      </w:pPr>
      <w:r w:rsidRPr="00F660E4">
        <w:rPr>
          <w:rFonts w:eastAsia="Calibri" w:cs="Arial"/>
          <w:szCs w:val="20"/>
          <w:lang w:val="es-ES" w:eastAsia="es-ES"/>
        </w:rPr>
        <w:t xml:space="preserve">el día 18 de septiembre de 2024, </w:t>
      </w:r>
      <w:bookmarkStart w:id="68" w:name="_Hlk98913811"/>
      <w:r w:rsidRPr="00F660E4">
        <w:rPr>
          <w:rFonts w:eastAsia="Calibri" w:cs="Arial"/>
          <w:szCs w:val="20"/>
          <w:lang w:val="es-ES" w:eastAsia="es-ES"/>
        </w:rPr>
        <w:t>8.394.978,43 €</w:t>
      </w:r>
      <w:bookmarkEnd w:id="68"/>
      <w:r w:rsidRPr="00F660E4">
        <w:rPr>
          <w:rFonts w:eastAsia="Calibri" w:cs="Arial"/>
          <w:szCs w:val="20"/>
          <w:lang w:val="es-ES" w:eastAsia="es-ES"/>
        </w:rPr>
        <w:t xml:space="preserve"> según la orden-Nº:124/2024.</w:t>
      </w:r>
    </w:p>
    <w:p w14:paraId="390ECA24" w14:textId="77777777" w:rsidR="00F660E4" w:rsidRPr="00F660E4" w:rsidRDefault="00F660E4" w:rsidP="00F660E4">
      <w:pPr>
        <w:numPr>
          <w:ilvl w:val="0"/>
          <w:numId w:val="20"/>
        </w:numPr>
        <w:jc w:val="left"/>
        <w:rPr>
          <w:rFonts w:eastAsia="Calibri" w:cs="Arial"/>
          <w:szCs w:val="20"/>
          <w:lang w:val="es-ES" w:eastAsia="es-ES"/>
        </w:rPr>
      </w:pPr>
      <w:r w:rsidRPr="00F660E4">
        <w:rPr>
          <w:rFonts w:eastAsia="Calibri" w:cs="Arial"/>
          <w:szCs w:val="20"/>
          <w:lang w:val="es-ES" w:eastAsia="es-ES"/>
        </w:rPr>
        <w:t>el día 8 de octubre de 2024, 6.497.688,43 € según la orden-Nº:148/2024.</w:t>
      </w:r>
    </w:p>
    <w:p w14:paraId="076D9D40" w14:textId="77777777" w:rsidR="00F660E4" w:rsidRPr="00F660E4" w:rsidRDefault="00F660E4" w:rsidP="00F660E4">
      <w:pPr>
        <w:numPr>
          <w:ilvl w:val="0"/>
          <w:numId w:val="20"/>
        </w:numPr>
        <w:jc w:val="left"/>
        <w:rPr>
          <w:rFonts w:eastAsia="Calibri" w:cs="Arial"/>
          <w:szCs w:val="20"/>
          <w:lang w:val="es-ES" w:eastAsia="es-ES"/>
        </w:rPr>
      </w:pPr>
      <w:r w:rsidRPr="00F660E4">
        <w:rPr>
          <w:rFonts w:eastAsia="Calibri" w:cs="Arial"/>
          <w:szCs w:val="20"/>
          <w:lang w:val="es-ES" w:eastAsia="es-ES"/>
        </w:rPr>
        <w:t>el día 03 de diciembre de 2024, 5.146.856,04 € según la orden-Nº:188/2024.</w:t>
      </w:r>
    </w:p>
    <w:p w14:paraId="13364F62" w14:textId="77777777" w:rsidR="00F660E4" w:rsidRPr="00F660E4" w:rsidRDefault="00F660E4" w:rsidP="00F660E4">
      <w:pPr>
        <w:numPr>
          <w:ilvl w:val="0"/>
          <w:numId w:val="20"/>
        </w:numPr>
        <w:jc w:val="left"/>
        <w:rPr>
          <w:rFonts w:eastAsia="Calibri" w:cs="Arial"/>
          <w:szCs w:val="20"/>
          <w:lang w:val="es-ES" w:eastAsia="es-ES"/>
        </w:rPr>
      </w:pPr>
      <w:r w:rsidRPr="00F660E4">
        <w:rPr>
          <w:rFonts w:eastAsia="Calibri" w:cs="Arial"/>
          <w:szCs w:val="20"/>
          <w:lang w:val="es-ES" w:eastAsia="es-ES"/>
        </w:rPr>
        <w:t>el día 18 de diciembre de 2024, 7.038.507,31 € según la orden-Nº:190/2024.</w:t>
      </w:r>
    </w:p>
    <w:p w14:paraId="25901FBF" w14:textId="77777777" w:rsidR="00F660E4" w:rsidRPr="00F660E4" w:rsidRDefault="00F660E4" w:rsidP="00F660E4">
      <w:pPr>
        <w:numPr>
          <w:ilvl w:val="0"/>
          <w:numId w:val="20"/>
        </w:numPr>
        <w:jc w:val="left"/>
        <w:rPr>
          <w:rFonts w:eastAsia="Calibri" w:cs="Arial"/>
          <w:szCs w:val="20"/>
          <w:lang w:val="es-ES" w:eastAsia="es-ES"/>
        </w:rPr>
      </w:pPr>
      <w:r w:rsidRPr="00F660E4">
        <w:rPr>
          <w:rFonts w:eastAsia="Calibri" w:cs="Arial"/>
          <w:szCs w:val="20"/>
          <w:lang w:val="es-ES" w:eastAsia="es-ES"/>
        </w:rPr>
        <w:t>el día 18 de diciembre de 2024, 6.269.500,61 € según la orden-Nº:199/2024.</w:t>
      </w:r>
    </w:p>
    <w:p w14:paraId="251E9E42" w14:textId="77777777" w:rsidR="00F660E4" w:rsidRPr="00F660E4" w:rsidRDefault="00F660E4" w:rsidP="00F660E4">
      <w:pPr>
        <w:numPr>
          <w:ilvl w:val="0"/>
          <w:numId w:val="20"/>
        </w:numPr>
        <w:jc w:val="left"/>
        <w:rPr>
          <w:rFonts w:eastAsia="Calibri" w:cs="Arial"/>
          <w:szCs w:val="20"/>
          <w:lang w:val="es-ES" w:eastAsia="es-ES"/>
        </w:rPr>
      </w:pPr>
      <w:r w:rsidRPr="00F660E4">
        <w:rPr>
          <w:rFonts w:eastAsia="Calibri" w:cs="Arial"/>
          <w:szCs w:val="20"/>
          <w:lang w:val="es-ES" w:eastAsia="es-ES"/>
        </w:rPr>
        <w:t>el día 18 de diciembre de 2024, 9.986.638,70 € según la orden-Nº:203/2024.</w:t>
      </w:r>
    </w:p>
    <w:p w14:paraId="6F2DB425" w14:textId="77777777" w:rsidR="00F660E4" w:rsidRPr="00F660E4" w:rsidRDefault="00F660E4" w:rsidP="00F660E4">
      <w:pPr>
        <w:spacing w:before="240"/>
        <w:rPr>
          <w:rFonts w:eastAsia="Calibri" w:cs="Arial"/>
          <w:szCs w:val="20"/>
          <w:lang w:val="es-ES" w:eastAsia="es-ES"/>
        </w:rPr>
      </w:pPr>
      <w:r w:rsidRPr="00F660E4">
        <w:rPr>
          <w:rFonts w:eastAsia="Calibri" w:cs="Arial"/>
          <w:szCs w:val="20"/>
          <w:lang w:val="es-ES" w:eastAsia="es-ES"/>
        </w:rPr>
        <w:t xml:space="preserve">Durante el 2024 la Sociedad ha transferido 35.199.650,44 euros. El resto, por importe de 8.134.519,08 </w:t>
      </w:r>
      <w:bookmarkStart w:id="69" w:name="_Hlk190851327"/>
      <w:r w:rsidRPr="00F660E4">
        <w:rPr>
          <w:rFonts w:eastAsia="Calibri" w:cs="Arial"/>
          <w:szCs w:val="20"/>
          <w:lang w:val="es-ES" w:eastAsia="es-ES"/>
        </w:rPr>
        <w:t>queda pendiente de distribuir a 31 de diciembre de 2024.</w:t>
      </w:r>
      <w:bookmarkEnd w:id="69"/>
    </w:p>
    <w:p w14:paraId="4764E7A0" w14:textId="77777777" w:rsidR="00F660E4" w:rsidRPr="00F660E4" w:rsidRDefault="00F660E4" w:rsidP="00F660E4">
      <w:pPr>
        <w:spacing w:before="240"/>
        <w:rPr>
          <w:rFonts w:eastAsia="Calibri" w:cs="Arial"/>
          <w:szCs w:val="20"/>
          <w:lang w:val="es-ES" w:eastAsia="es-ES"/>
        </w:rPr>
      </w:pPr>
    </w:p>
    <w:tbl>
      <w:tblPr>
        <w:tblW w:w="8501" w:type="dxa"/>
        <w:jc w:val="center"/>
        <w:tblCellMar>
          <w:left w:w="70" w:type="dxa"/>
          <w:right w:w="70" w:type="dxa"/>
        </w:tblCellMar>
        <w:tblLook w:val="04A0" w:firstRow="1" w:lastRow="0" w:firstColumn="1" w:lastColumn="0" w:noHBand="0" w:noVBand="1"/>
      </w:tblPr>
      <w:tblGrid>
        <w:gridCol w:w="2127"/>
        <w:gridCol w:w="1276"/>
        <w:gridCol w:w="1276"/>
        <w:gridCol w:w="1275"/>
        <w:gridCol w:w="1189"/>
        <w:gridCol w:w="1358"/>
      </w:tblGrid>
      <w:tr w:rsidR="00F660E4" w:rsidRPr="00F660E4" w14:paraId="3B1E87D3" w14:textId="77777777" w:rsidTr="00F660E4">
        <w:trPr>
          <w:trHeight w:val="929"/>
          <w:jc w:val="center"/>
        </w:trPr>
        <w:tc>
          <w:tcPr>
            <w:tcW w:w="2127" w:type="dxa"/>
            <w:tcBorders>
              <w:top w:val="single" w:sz="4" w:space="0" w:color="auto"/>
              <w:bottom w:val="single" w:sz="4" w:space="0" w:color="auto"/>
            </w:tcBorders>
            <w:shd w:val="clear" w:color="auto" w:fill="D9D9D9"/>
            <w:vAlign w:val="center"/>
            <w:hideMark/>
          </w:tcPr>
          <w:p w14:paraId="0516CC74"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Concepto</w:t>
            </w:r>
          </w:p>
        </w:tc>
        <w:tc>
          <w:tcPr>
            <w:tcW w:w="1276" w:type="dxa"/>
            <w:tcBorders>
              <w:top w:val="single" w:sz="4" w:space="0" w:color="auto"/>
              <w:bottom w:val="single" w:sz="4" w:space="0" w:color="auto"/>
            </w:tcBorders>
            <w:shd w:val="clear" w:color="auto" w:fill="D9D9D9"/>
            <w:hideMark/>
          </w:tcPr>
          <w:p w14:paraId="56AE441F"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años anteriores</w:t>
            </w:r>
          </w:p>
        </w:tc>
        <w:tc>
          <w:tcPr>
            <w:tcW w:w="1276" w:type="dxa"/>
            <w:tcBorders>
              <w:top w:val="single" w:sz="4" w:space="0" w:color="auto"/>
              <w:bottom w:val="single" w:sz="4" w:space="0" w:color="auto"/>
            </w:tcBorders>
            <w:shd w:val="clear" w:color="auto" w:fill="D9D9D9"/>
            <w:hideMark/>
          </w:tcPr>
          <w:p w14:paraId="76784C20"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años anteriores</w:t>
            </w:r>
          </w:p>
        </w:tc>
        <w:tc>
          <w:tcPr>
            <w:tcW w:w="1275" w:type="dxa"/>
            <w:tcBorders>
              <w:top w:val="single" w:sz="4" w:space="0" w:color="auto"/>
              <w:bottom w:val="single" w:sz="4" w:space="0" w:color="auto"/>
            </w:tcBorders>
            <w:shd w:val="clear" w:color="auto" w:fill="D9D9D9"/>
            <w:hideMark/>
          </w:tcPr>
          <w:p w14:paraId="000D52ED"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recibido</w:t>
            </w:r>
            <w:r w:rsidRPr="00F660E4">
              <w:rPr>
                <w:rFonts w:cs="Arial"/>
                <w:b/>
                <w:bCs/>
                <w:color w:val="000000"/>
                <w:sz w:val="16"/>
                <w:szCs w:val="16"/>
                <w:lang w:val="es-ES" w:eastAsia="es-ES"/>
              </w:rPr>
              <w:br/>
              <w:t>en 2024</w:t>
            </w:r>
          </w:p>
        </w:tc>
        <w:tc>
          <w:tcPr>
            <w:tcW w:w="1189" w:type="dxa"/>
            <w:tcBorders>
              <w:top w:val="single" w:sz="4" w:space="0" w:color="auto"/>
              <w:bottom w:val="single" w:sz="4" w:space="0" w:color="auto"/>
            </w:tcBorders>
            <w:shd w:val="clear" w:color="auto" w:fill="D9D9D9"/>
            <w:hideMark/>
          </w:tcPr>
          <w:p w14:paraId="1A3305C6"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transferido</w:t>
            </w:r>
            <w:r w:rsidRPr="00F660E4">
              <w:rPr>
                <w:rFonts w:cs="Arial"/>
                <w:b/>
                <w:bCs/>
                <w:color w:val="000000"/>
                <w:sz w:val="16"/>
                <w:szCs w:val="16"/>
                <w:lang w:val="es-ES" w:eastAsia="es-ES"/>
              </w:rPr>
              <w:br/>
              <w:t>en 2024</w:t>
            </w:r>
          </w:p>
        </w:tc>
        <w:tc>
          <w:tcPr>
            <w:tcW w:w="1358" w:type="dxa"/>
            <w:tcBorders>
              <w:top w:val="single" w:sz="4" w:space="0" w:color="auto"/>
              <w:bottom w:val="single" w:sz="4" w:space="0" w:color="auto"/>
            </w:tcBorders>
            <w:shd w:val="clear" w:color="auto" w:fill="D9D9D9"/>
            <w:hideMark/>
          </w:tcPr>
          <w:p w14:paraId="32712ED6" w14:textId="77777777" w:rsidR="00F660E4" w:rsidRPr="00F660E4" w:rsidRDefault="00F660E4" w:rsidP="00F660E4">
            <w:pPr>
              <w:jc w:val="right"/>
              <w:rPr>
                <w:rFonts w:cs="Arial"/>
                <w:b/>
                <w:bCs/>
                <w:color w:val="000000"/>
                <w:sz w:val="16"/>
                <w:szCs w:val="16"/>
                <w:lang w:val="es-ES" w:eastAsia="es-ES"/>
              </w:rPr>
            </w:pPr>
            <w:r w:rsidRPr="00F660E4">
              <w:rPr>
                <w:rFonts w:cs="Arial"/>
                <w:b/>
                <w:bCs/>
                <w:color w:val="000000"/>
                <w:sz w:val="16"/>
                <w:szCs w:val="16"/>
                <w:lang w:val="es-ES" w:eastAsia="es-ES"/>
              </w:rPr>
              <w:t>Importe pendiente</w:t>
            </w:r>
            <w:r w:rsidRPr="00F660E4">
              <w:rPr>
                <w:rFonts w:cs="Arial"/>
                <w:b/>
                <w:bCs/>
                <w:color w:val="000000"/>
                <w:sz w:val="16"/>
                <w:szCs w:val="16"/>
                <w:lang w:val="es-ES" w:eastAsia="es-ES"/>
              </w:rPr>
              <w:br/>
              <w:t>31/12/24</w:t>
            </w:r>
          </w:p>
        </w:tc>
      </w:tr>
      <w:tr w:rsidR="00F660E4" w:rsidRPr="00F660E4" w14:paraId="45BEC746" w14:textId="77777777" w:rsidTr="006F20FE">
        <w:trPr>
          <w:trHeight w:val="833"/>
          <w:jc w:val="center"/>
        </w:trPr>
        <w:tc>
          <w:tcPr>
            <w:tcW w:w="2127" w:type="dxa"/>
            <w:tcBorders>
              <w:top w:val="single" w:sz="4" w:space="0" w:color="auto"/>
            </w:tcBorders>
            <w:shd w:val="clear" w:color="auto" w:fill="auto"/>
            <w:noWrap/>
            <w:vAlign w:val="center"/>
            <w:hideMark/>
          </w:tcPr>
          <w:p w14:paraId="1D4D873D" w14:textId="77777777" w:rsidR="00F660E4" w:rsidRPr="00F660E4" w:rsidRDefault="00F660E4" w:rsidP="00F660E4">
            <w:pPr>
              <w:jc w:val="left"/>
              <w:rPr>
                <w:rFonts w:cs="Arial"/>
                <w:b/>
                <w:bCs/>
                <w:color w:val="000000"/>
                <w:sz w:val="16"/>
                <w:szCs w:val="16"/>
                <w:lang w:val="es-ES" w:eastAsia="es-ES"/>
              </w:rPr>
            </w:pPr>
            <w:r w:rsidRPr="00F660E4">
              <w:rPr>
                <w:rFonts w:cs="Arial"/>
                <w:b/>
                <w:bCs/>
                <w:color w:val="000000"/>
                <w:sz w:val="16"/>
                <w:szCs w:val="16"/>
                <w:lang w:val="es-ES" w:eastAsia="es-ES"/>
              </w:rPr>
              <w:t>Ayudas La Palma</w:t>
            </w:r>
          </w:p>
        </w:tc>
        <w:tc>
          <w:tcPr>
            <w:tcW w:w="1276" w:type="dxa"/>
            <w:tcBorders>
              <w:top w:val="single" w:sz="4" w:space="0" w:color="auto"/>
            </w:tcBorders>
            <w:shd w:val="clear" w:color="auto" w:fill="auto"/>
            <w:noWrap/>
            <w:vAlign w:val="center"/>
            <w:hideMark/>
          </w:tcPr>
          <w:p w14:paraId="424A03FB"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276" w:type="dxa"/>
            <w:tcBorders>
              <w:top w:val="single" w:sz="4" w:space="0" w:color="auto"/>
            </w:tcBorders>
            <w:shd w:val="clear" w:color="auto" w:fill="auto"/>
            <w:noWrap/>
            <w:vAlign w:val="center"/>
            <w:hideMark/>
          </w:tcPr>
          <w:p w14:paraId="2C877F57"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0,00</w:t>
            </w:r>
          </w:p>
        </w:tc>
        <w:tc>
          <w:tcPr>
            <w:tcW w:w="1275" w:type="dxa"/>
            <w:tcBorders>
              <w:top w:val="single" w:sz="4" w:space="0" w:color="auto"/>
            </w:tcBorders>
            <w:shd w:val="clear" w:color="auto" w:fill="auto"/>
            <w:noWrap/>
            <w:vAlign w:val="center"/>
            <w:hideMark/>
          </w:tcPr>
          <w:p w14:paraId="652CE733"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43.334.169,52</w:t>
            </w:r>
          </w:p>
        </w:tc>
        <w:tc>
          <w:tcPr>
            <w:tcW w:w="1189" w:type="dxa"/>
            <w:tcBorders>
              <w:top w:val="single" w:sz="4" w:space="0" w:color="auto"/>
            </w:tcBorders>
            <w:shd w:val="clear" w:color="auto" w:fill="auto"/>
            <w:noWrap/>
            <w:vAlign w:val="center"/>
            <w:hideMark/>
          </w:tcPr>
          <w:p w14:paraId="06AE6B05"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35.199.650,44</w:t>
            </w:r>
          </w:p>
        </w:tc>
        <w:tc>
          <w:tcPr>
            <w:tcW w:w="1358" w:type="dxa"/>
            <w:tcBorders>
              <w:top w:val="single" w:sz="4" w:space="0" w:color="auto"/>
            </w:tcBorders>
            <w:shd w:val="clear" w:color="auto" w:fill="auto"/>
            <w:noWrap/>
            <w:vAlign w:val="center"/>
            <w:hideMark/>
          </w:tcPr>
          <w:p w14:paraId="6C4C49F9" w14:textId="77777777" w:rsidR="00F660E4" w:rsidRPr="00F660E4" w:rsidRDefault="00F660E4" w:rsidP="00F660E4">
            <w:pPr>
              <w:jc w:val="right"/>
              <w:rPr>
                <w:rFonts w:cs="Arial"/>
                <w:color w:val="000000"/>
                <w:sz w:val="16"/>
                <w:szCs w:val="16"/>
                <w:lang w:val="es-ES" w:eastAsia="es-ES"/>
              </w:rPr>
            </w:pPr>
            <w:r w:rsidRPr="00F660E4">
              <w:rPr>
                <w:rFonts w:cs="Arial"/>
                <w:color w:val="000000"/>
                <w:sz w:val="16"/>
                <w:szCs w:val="16"/>
                <w:lang w:val="es-ES" w:eastAsia="es-ES"/>
              </w:rPr>
              <w:t>8.134.519,08</w:t>
            </w:r>
          </w:p>
        </w:tc>
      </w:tr>
    </w:tbl>
    <w:p w14:paraId="119181F6" w14:textId="6BC61B33" w:rsidR="009C7A03" w:rsidRDefault="009C7A03" w:rsidP="006A6AF4">
      <w:pPr>
        <w:spacing w:before="240"/>
        <w:rPr>
          <w:rFonts w:cs="Arial"/>
          <w:szCs w:val="20"/>
        </w:rPr>
      </w:pPr>
      <w:r w:rsidRPr="00DD193C">
        <w:rPr>
          <w:rFonts w:cs="Arial"/>
          <w:szCs w:val="20"/>
        </w:rPr>
        <w:t xml:space="preserve">En todos estos convenios, </w:t>
      </w:r>
      <w:r w:rsidR="00636A9D" w:rsidRPr="00DD193C">
        <w:rPr>
          <w:rFonts w:cs="Arial"/>
          <w:szCs w:val="20"/>
        </w:rPr>
        <w:t>l</w:t>
      </w:r>
      <w:r w:rsidRPr="00DD193C">
        <w:rPr>
          <w:rFonts w:cs="Arial"/>
          <w:szCs w:val="20"/>
        </w:rPr>
        <w:t>a Sociedad actúa como mero intermediario entre las Consejería y los beneficiarios finales de las ayudas.</w:t>
      </w:r>
    </w:p>
    <w:p w14:paraId="163376B0" w14:textId="77777777" w:rsidR="00B23249" w:rsidRPr="005C4ACF" w:rsidRDefault="00B23249" w:rsidP="00B23249"/>
    <w:p w14:paraId="4F5CF9E1" w14:textId="77777777" w:rsidR="00B23249" w:rsidRPr="005C4ACF" w:rsidRDefault="00B23249" w:rsidP="00B23249"/>
    <w:p w14:paraId="3CEB1291" w14:textId="77777777" w:rsidR="002610F6" w:rsidRPr="00DF6DA9" w:rsidRDefault="00D44CB0" w:rsidP="002610F6">
      <w:pPr>
        <w:rPr>
          <w:rFonts w:cs="Arial"/>
          <w:b/>
        </w:rPr>
      </w:pPr>
      <w:r w:rsidRPr="00DF6DA9">
        <w:rPr>
          <w:rFonts w:cs="Arial"/>
          <w:b/>
        </w:rPr>
        <w:t>15.1</w:t>
      </w:r>
      <w:r w:rsidRPr="00DF6DA9">
        <w:rPr>
          <w:rFonts w:cs="Arial"/>
          <w:b/>
        </w:rPr>
        <w:tab/>
        <w:t>Cálculo del Impuesto sobre Sociedade</w:t>
      </w:r>
      <w:r w:rsidR="002610F6" w:rsidRPr="00DF6DA9">
        <w:rPr>
          <w:rFonts w:cs="Arial"/>
          <w:b/>
        </w:rPr>
        <w:t>s</w:t>
      </w:r>
    </w:p>
    <w:p w14:paraId="213418BF" w14:textId="77777777" w:rsidR="002610F6" w:rsidRPr="00DF6DA9" w:rsidRDefault="002610F6" w:rsidP="002610F6">
      <w:pPr>
        <w:rPr>
          <w:rFonts w:cs="Arial"/>
        </w:rPr>
      </w:pPr>
    </w:p>
    <w:p w14:paraId="66A62995" w14:textId="66DE8ABA" w:rsidR="002610F6" w:rsidRPr="00DF6DA9" w:rsidRDefault="00D43C1C" w:rsidP="002610F6">
      <w:pPr>
        <w:rPr>
          <w:rFonts w:cs="Arial"/>
        </w:rPr>
      </w:pPr>
      <w:r w:rsidRPr="00DF6DA9">
        <w:rPr>
          <w:rFonts w:cs="Arial"/>
        </w:rPr>
        <w:t>La conciliación entre el importe neto de los ingresos y gastos del ejercicio y la base imponible (resultado fiscal) del Impuesto sobre Sociedades es la siguiente:</w:t>
      </w:r>
    </w:p>
    <w:p w14:paraId="0CE0D492" w14:textId="365C4173" w:rsidR="002610F6" w:rsidRPr="00DF6DA9" w:rsidRDefault="002610F6" w:rsidP="002610F6">
      <w:pPr>
        <w:rPr>
          <w:rFonts w:cs="Arial"/>
        </w:rPr>
      </w:pPr>
    </w:p>
    <w:p w14:paraId="0C47A6C8" w14:textId="77777777" w:rsidR="00547CEB" w:rsidRPr="00BA44A6" w:rsidRDefault="00547CEB" w:rsidP="002610F6">
      <w:pPr>
        <w:rPr>
          <w:rFonts w:cs="Arial"/>
          <w:highlight w:val="green"/>
        </w:rPr>
      </w:pPr>
    </w:p>
    <w:bookmarkStart w:id="70" w:name="_MON_1549090081"/>
    <w:bookmarkEnd w:id="70"/>
    <w:p w14:paraId="28478D0D" w14:textId="1B778FB4" w:rsidR="00AC012D" w:rsidRPr="00BA44A6" w:rsidRDefault="00DF6DA9" w:rsidP="002610F6">
      <w:pPr>
        <w:rPr>
          <w:rFonts w:cs="Arial"/>
          <w:b/>
          <w:highlight w:val="green"/>
        </w:rPr>
      </w:pPr>
      <w:r w:rsidRPr="00DF6DA9">
        <w:rPr>
          <w:rFonts w:cs="Arial"/>
        </w:rPr>
        <w:object w:dxaOrig="12916" w:dyaOrig="9825" w14:anchorId="26DC9C15">
          <v:shape id="_x0000_i1050" type="#_x0000_t75" style="width:460.05pt;height:341.3pt" o:ole="">
            <v:imagedata r:id="rId67" o:title=""/>
          </v:shape>
          <o:OLEObject Type="Embed" ProgID="Excel.Sheet.12" ShapeID="_x0000_i1050" DrawAspect="Content" ObjectID="_1805087283" r:id="rId68"/>
        </w:object>
      </w:r>
    </w:p>
    <w:p w14:paraId="5BFB0569" w14:textId="5D253DFF" w:rsidR="009B04CB" w:rsidRPr="00DF6DA9" w:rsidRDefault="001C0FDE" w:rsidP="009B04CB">
      <w:pPr>
        <w:spacing w:before="240"/>
        <w:rPr>
          <w:rFonts w:cs="Arial"/>
        </w:rPr>
      </w:pPr>
      <w:r w:rsidRPr="00DF6DA9">
        <w:rPr>
          <w:rFonts w:cs="Arial"/>
        </w:rPr>
        <w:t xml:space="preserve">Los aumentos por diferencias permanentes en </w:t>
      </w:r>
      <w:r w:rsidR="002B2A6B" w:rsidRPr="00DF6DA9">
        <w:rPr>
          <w:rFonts w:cs="Arial"/>
        </w:rPr>
        <w:t>202</w:t>
      </w:r>
      <w:r w:rsidR="00DF6DA9" w:rsidRPr="00DF6DA9">
        <w:rPr>
          <w:rFonts w:cs="Arial"/>
        </w:rPr>
        <w:t>4</w:t>
      </w:r>
      <w:r w:rsidR="002B2A6B" w:rsidRPr="00DF6DA9">
        <w:rPr>
          <w:rFonts w:cs="Arial"/>
        </w:rPr>
        <w:t xml:space="preserve"> </w:t>
      </w:r>
      <w:r w:rsidR="00AC670B" w:rsidRPr="00DF6DA9">
        <w:rPr>
          <w:rFonts w:cs="Arial"/>
        </w:rPr>
        <w:t>y 202</w:t>
      </w:r>
      <w:r w:rsidR="00DF6DA9" w:rsidRPr="00DF6DA9">
        <w:rPr>
          <w:rFonts w:cs="Arial"/>
        </w:rPr>
        <w:t>3</w:t>
      </w:r>
      <w:r w:rsidR="00AC670B" w:rsidRPr="00DF6DA9">
        <w:rPr>
          <w:rFonts w:cs="Arial"/>
        </w:rPr>
        <w:t xml:space="preserve"> </w:t>
      </w:r>
      <w:r w:rsidR="002B2A6B" w:rsidRPr="00DF6DA9">
        <w:rPr>
          <w:rFonts w:cs="Arial"/>
        </w:rPr>
        <w:t>se de</w:t>
      </w:r>
      <w:r w:rsidR="0040099C" w:rsidRPr="00DF6DA9">
        <w:rPr>
          <w:rFonts w:cs="Arial"/>
        </w:rPr>
        <w:t>b</w:t>
      </w:r>
      <w:r w:rsidR="002B2A6B" w:rsidRPr="00DF6DA9">
        <w:rPr>
          <w:rFonts w:cs="Arial"/>
        </w:rPr>
        <w:t xml:space="preserve">en </w:t>
      </w:r>
      <w:r w:rsidRPr="00DF6DA9">
        <w:rPr>
          <w:rFonts w:cs="Arial"/>
        </w:rPr>
        <w:t xml:space="preserve">a </w:t>
      </w:r>
      <w:r w:rsidR="0055035B" w:rsidRPr="00DF6DA9">
        <w:rPr>
          <w:rFonts w:cs="Arial"/>
        </w:rPr>
        <w:t>multas, sanciones y donativos</w:t>
      </w:r>
      <w:bookmarkStart w:id="71" w:name="_Hlk34123927"/>
      <w:r w:rsidRPr="00DF6DA9">
        <w:rPr>
          <w:rFonts w:cs="Arial"/>
        </w:rPr>
        <w:t>.</w:t>
      </w:r>
      <w:r w:rsidR="00553F01" w:rsidRPr="00DF6DA9">
        <w:rPr>
          <w:rFonts w:cs="Arial"/>
        </w:rPr>
        <w:t xml:space="preserve"> </w:t>
      </w:r>
      <w:bookmarkEnd w:id="71"/>
    </w:p>
    <w:p w14:paraId="1C31F34C" w14:textId="434F729E" w:rsidR="007A52CA" w:rsidRPr="00DF6DA9" w:rsidRDefault="00D43C1C" w:rsidP="009B04CB">
      <w:pPr>
        <w:spacing w:before="240"/>
        <w:rPr>
          <w:rFonts w:cs="Arial"/>
        </w:rPr>
      </w:pPr>
      <w:r w:rsidRPr="00DF6DA9">
        <w:rPr>
          <w:rFonts w:cs="Arial"/>
        </w:rPr>
        <w:t>La conciliación entre el gasto / (ingreso) por impuesto sobre beneficios y el resultado de multiplicar los tipos de gravámenes aplicables al total de ingresos y gastos reconocidos es la siguiente:</w:t>
      </w:r>
    </w:p>
    <w:bookmarkStart w:id="72" w:name="_MON_1549090187"/>
    <w:bookmarkEnd w:id="72"/>
    <w:p w14:paraId="7AEA6727" w14:textId="4A6673C1" w:rsidR="007D5B93" w:rsidRPr="00BA44A6" w:rsidRDefault="00DF6DA9" w:rsidP="009B04CB">
      <w:pPr>
        <w:spacing w:before="240"/>
        <w:rPr>
          <w:rFonts w:cs="Arial"/>
          <w:highlight w:val="green"/>
        </w:rPr>
      </w:pPr>
      <w:r w:rsidRPr="00DF6DA9">
        <w:rPr>
          <w:rFonts w:cs="Arial"/>
        </w:rPr>
        <w:object w:dxaOrig="12882" w:dyaOrig="4170" w14:anchorId="785C9656">
          <v:shape id="_x0000_i1051" type="#_x0000_t75" style="width:450.7pt;height:147.75pt" o:ole="">
            <v:imagedata r:id="rId69" o:title=""/>
          </v:shape>
          <o:OLEObject Type="Embed" ProgID="Excel.Sheet.12" ShapeID="_x0000_i1051" DrawAspect="Content" ObjectID="_1805087284" r:id="rId70"/>
        </w:object>
      </w:r>
    </w:p>
    <w:p w14:paraId="0959C413" w14:textId="4BE1245D" w:rsidR="00547CEB" w:rsidRPr="002070D8" w:rsidRDefault="00046A51" w:rsidP="00547CEB">
      <w:pPr>
        <w:spacing w:before="240"/>
        <w:rPr>
          <w:rFonts w:cs="Arial"/>
        </w:rPr>
      </w:pPr>
      <w:r>
        <w:rPr>
          <w:noProof/>
          <w:lang w:val="es-ES" w:eastAsia="es-ES"/>
        </w:rPr>
        <w:object w:dxaOrig="1440" w:dyaOrig="1440" w14:anchorId="130050BD">
          <v:shape id="_x0000_s2054" type="#_x0000_t75" style="position:absolute;left:0;text-align:left;margin-left:83.45pt;margin-top:34.85pt;width:270.3pt;height:59.9pt;z-index:251658240">
            <v:imagedata r:id="rId71" o:title=""/>
            <w10:wrap type="topAndBottom"/>
          </v:shape>
          <o:OLEObject Type="Embed" ProgID="Excel.Sheet.8" ShapeID="_x0000_s2054" DrawAspect="Content" ObjectID="_1805087302" r:id="rId72"/>
        </w:object>
      </w:r>
      <w:r w:rsidR="00547CEB" w:rsidRPr="00540F84">
        <w:rPr>
          <w:rFonts w:cs="Arial"/>
        </w:rPr>
        <w:t>El cálculo del Impuesto sobre Sociedades a devolver es el siguiente:</w:t>
      </w:r>
    </w:p>
    <w:p w14:paraId="243F1AAD" w14:textId="3D3596A6" w:rsidR="00CC2B6B" w:rsidRPr="00EB7197" w:rsidRDefault="00D43C1C" w:rsidP="00CC2B6B">
      <w:pPr>
        <w:spacing w:before="240"/>
        <w:rPr>
          <w:rFonts w:cs="Arial"/>
        </w:rPr>
      </w:pPr>
      <w:bookmarkStart w:id="73" w:name="_Hlk192241091"/>
      <w:r w:rsidRPr="00EB7197">
        <w:rPr>
          <w:rFonts w:cs="Arial"/>
        </w:rPr>
        <w:lastRenderedPageBreak/>
        <w:t>Al 31 de diciembre, el detalle de las bases imponibles pendientes de compensar</w:t>
      </w:r>
      <w:r w:rsidR="003661E2" w:rsidRPr="00EB7197">
        <w:rPr>
          <w:rFonts w:cs="Arial"/>
        </w:rPr>
        <w:t xml:space="preserve"> es el siguiente</w:t>
      </w:r>
      <w:r w:rsidRPr="00EB7197">
        <w:rPr>
          <w:rFonts w:cs="Arial"/>
        </w:rPr>
        <w:t>:</w:t>
      </w:r>
    </w:p>
    <w:bookmarkStart w:id="74" w:name="_Hlk192241227"/>
    <w:bookmarkEnd w:id="73"/>
    <w:bookmarkStart w:id="75" w:name="_MON_1738573225"/>
    <w:bookmarkEnd w:id="75"/>
    <w:p w14:paraId="588A451C" w14:textId="72E4930D" w:rsidR="0068100B" w:rsidRPr="00EB7197" w:rsidRDefault="00EB7197" w:rsidP="00FC7BFC">
      <w:pPr>
        <w:spacing w:before="240"/>
        <w:jc w:val="center"/>
        <w:rPr>
          <w:rFonts w:cs="Arial"/>
        </w:rPr>
      </w:pPr>
      <w:r w:rsidRPr="00EB7197">
        <w:rPr>
          <w:rFonts w:cs="Arial"/>
        </w:rPr>
        <w:object w:dxaOrig="6401" w:dyaOrig="7280" w14:anchorId="10A1F387">
          <v:shape id="_x0000_i1053" type="#_x0000_t75" style="width:265.55pt;height:302.05pt" o:ole="">
            <v:imagedata r:id="rId73" o:title=""/>
          </v:shape>
          <o:OLEObject Type="Embed" ProgID="Excel.Sheet.12" ShapeID="_x0000_i1053" DrawAspect="Content" ObjectID="_1805087285" r:id="rId74"/>
        </w:object>
      </w:r>
      <w:bookmarkEnd w:id="74"/>
    </w:p>
    <w:p w14:paraId="7C53A720" w14:textId="77777777" w:rsidR="00EB7197" w:rsidRDefault="001D2C97" w:rsidP="00EB7197">
      <w:pPr>
        <w:spacing w:before="240"/>
        <w:rPr>
          <w:rFonts w:cs="Arial"/>
        </w:rPr>
      </w:pPr>
      <w:r w:rsidRPr="00B53F18">
        <w:rPr>
          <w:rFonts w:cs="Arial"/>
        </w:rPr>
        <w:t>L</w:t>
      </w:r>
      <w:r w:rsidR="00056E2A" w:rsidRPr="00B53F18">
        <w:rPr>
          <w:rFonts w:cs="Arial"/>
        </w:rPr>
        <w:t xml:space="preserve">a Sociedad no ha registrado activos por impuesto diferido respecto a estas bases imponibles negativas pendientes de aplicar </w:t>
      </w:r>
      <w:r w:rsidR="00786BCE" w:rsidRPr="00B53F18">
        <w:rPr>
          <w:rFonts w:cs="Arial"/>
        </w:rPr>
        <w:t>al estimar</w:t>
      </w:r>
      <w:r w:rsidR="00056E2A" w:rsidRPr="00B53F18">
        <w:rPr>
          <w:rFonts w:cs="Arial"/>
        </w:rPr>
        <w:t xml:space="preserve"> no ser probable que obtenga ganancias fiscales futuras que permitan su aplicación.</w:t>
      </w:r>
    </w:p>
    <w:p w14:paraId="6D96E5EF" w14:textId="7311CB56" w:rsidR="002F35F2" w:rsidRPr="00EB7197" w:rsidRDefault="00EB7197" w:rsidP="00EB7197">
      <w:pPr>
        <w:spacing w:before="240"/>
        <w:rPr>
          <w:rFonts w:cs="Arial"/>
        </w:rPr>
      </w:pPr>
      <w:r w:rsidRPr="00EB7197">
        <w:rPr>
          <w:rFonts w:cs="Arial"/>
        </w:rPr>
        <w:t xml:space="preserve">Según </w:t>
      </w:r>
      <w:r w:rsidR="002F35F2" w:rsidRPr="00EB7197">
        <w:rPr>
          <w:rFonts w:cs="Arial"/>
        </w:rPr>
        <w:t xml:space="preserve">lo previsto </w:t>
      </w:r>
      <w:r w:rsidRPr="00EB7197">
        <w:rPr>
          <w:rFonts w:cs="Arial"/>
        </w:rPr>
        <w:t xml:space="preserve">en </w:t>
      </w:r>
      <w:r w:rsidR="002F35F2" w:rsidRPr="00EB7197">
        <w:rPr>
          <w:rFonts w:cs="Arial"/>
        </w:rPr>
        <w:t>el artículo 26.5 de la ley 27/2014 respecto de la compensación de las bases imponibles negativas</w:t>
      </w:r>
      <w:r>
        <w:rPr>
          <w:rFonts w:cs="Arial"/>
        </w:rPr>
        <w:t>, e</w:t>
      </w:r>
      <w:r w:rsidR="002F35F2" w:rsidRPr="00EB7197">
        <w:rPr>
          <w:rFonts w:cs="Arial"/>
        </w:rPr>
        <w:t>l derecho de la Administración para iniciar el procedimiento de comprobación de las bases imponibles negativas compensadas o pendientes de compensación prescribirá a los 10 años a contar desde el día siguiente a aquel en que finalice el plazo establecido para presentar la declaración o autoliquidación correspondiente al período impositivo en que se generó el derecho a su compensación.</w:t>
      </w:r>
    </w:p>
    <w:p w14:paraId="50FFE0AF" w14:textId="77777777" w:rsidR="002F35F2" w:rsidRPr="00EB7197" w:rsidRDefault="002F35F2" w:rsidP="00EB7197">
      <w:pPr>
        <w:pStyle w:val="parrafo"/>
        <w:spacing w:before="180" w:beforeAutospacing="0" w:after="180" w:afterAutospacing="0"/>
        <w:jc w:val="both"/>
        <w:rPr>
          <w:rFonts w:ascii="Arial" w:eastAsia="Times New Roman" w:hAnsi="Arial" w:cs="Arial"/>
          <w:sz w:val="20"/>
          <w:lang w:val="es-ES_tradnl" w:eastAsia="en-US"/>
        </w:rPr>
      </w:pPr>
      <w:r w:rsidRPr="00EB7197">
        <w:rPr>
          <w:rFonts w:ascii="Arial" w:eastAsia="Times New Roman" w:hAnsi="Arial" w:cs="Arial"/>
          <w:sz w:val="20"/>
          <w:lang w:val="es-ES_tradnl" w:eastAsia="en-US"/>
        </w:rPr>
        <w:t>Transcurrido dicho plazo, el contribuyente deberá acreditar las bases imponibles negativas cuya compensación pretenda mediante la exhibición de la liquidación o autoliquidación y la contabilidad, con acreditación de su depósito durante el citado plazo en el Registro Mercantil.</w:t>
      </w:r>
    </w:p>
    <w:p w14:paraId="7C63AB83" w14:textId="7FCA636F" w:rsidR="00EB7197" w:rsidRPr="00EB7197" w:rsidRDefault="00EB7197" w:rsidP="00EB7197">
      <w:pPr>
        <w:spacing w:before="240"/>
        <w:rPr>
          <w:rFonts w:cs="Arial"/>
        </w:rPr>
      </w:pPr>
      <w:r w:rsidRPr="00EB7197">
        <w:rPr>
          <w:rFonts w:cs="Arial"/>
        </w:rPr>
        <w:t xml:space="preserve">Al 31 de diciembre, el detalle de las </w:t>
      </w:r>
      <w:r>
        <w:rPr>
          <w:rFonts w:cs="Arial"/>
        </w:rPr>
        <w:t>deducciones por inversión en activos fijos nuevos (DAF)</w:t>
      </w:r>
      <w:r w:rsidRPr="00EB7197">
        <w:rPr>
          <w:rFonts w:cs="Arial"/>
        </w:rPr>
        <w:t xml:space="preserve"> pendientes de </w:t>
      </w:r>
      <w:r>
        <w:rPr>
          <w:rFonts w:cs="Arial"/>
        </w:rPr>
        <w:t>aplica</w:t>
      </w:r>
      <w:r w:rsidRPr="00EB7197">
        <w:rPr>
          <w:rFonts w:cs="Arial"/>
        </w:rPr>
        <w:t>r es el siguiente:</w:t>
      </w:r>
    </w:p>
    <w:bookmarkStart w:id="76" w:name="_MON_1802854172"/>
    <w:bookmarkEnd w:id="76"/>
    <w:p w14:paraId="050B817D" w14:textId="60E982BE" w:rsidR="002F35F2" w:rsidRDefault="00EB7197" w:rsidP="00EB7197">
      <w:pPr>
        <w:spacing w:before="240"/>
        <w:jc w:val="center"/>
        <w:rPr>
          <w:rFonts w:cs="Arial"/>
        </w:rPr>
      </w:pPr>
      <w:r w:rsidRPr="00EB7197">
        <w:rPr>
          <w:rFonts w:cs="Arial"/>
        </w:rPr>
        <w:object w:dxaOrig="8528" w:dyaOrig="1409" w14:anchorId="5A72D040">
          <v:shape id="_x0000_i1054" type="#_x0000_t75" style="width:353.45pt;height:57.95pt" o:ole="">
            <v:imagedata r:id="rId75" o:title=""/>
          </v:shape>
          <o:OLEObject Type="Embed" ProgID="Excel.Sheet.12" ShapeID="_x0000_i1054" DrawAspect="Content" ObjectID="_1805087286" r:id="rId76"/>
        </w:object>
      </w:r>
    </w:p>
    <w:p w14:paraId="317639EB" w14:textId="7AFC9C8C" w:rsidR="00EB7197" w:rsidRPr="00EB7197" w:rsidRDefault="00EB7197" w:rsidP="00EB7197">
      <w:pPr>
        <w:spacing w:before="240"/>
        <w:rPr>
          <w:rFonts w:cs="Arial"/>
          <w:lang w:val="es-ES"/>
        </w:rPr>
      </w:pPr>
      <w:r w:rsidRPr="00EB7197">
        <w:rPr>
          <w:rFonts w:cs="Arial"/>
          <w:lang w:val="es-ES"/>
        </w:rPr>
        <w:t>La Sociedad no ha registrado activos por impuesto diferido respecto a esta deducción al estimar no ser probable que obtenga ganancias fiscales futuras que permitan su aplicación</w:t>
      </w:r>
      <w:r>
        <w:rPr>
          <w:rFonts w:cs="Arial"/>
          <w:lang w:val="es-ES"/>
        </w:rPr>
        <w:t>.</w:t>
      </w:r>
    </w:p>
    <w:p w14:paraId="59AADA49" w14:textId="77777777" w:rsidR="00EB7197" w:rsidRPr="00B53F18" w:rsidRDefault="00EB7197" w:rsidP="00EB7197">
      <w:pPr>
        <w:spacing w:before="240"/>
        <w:rPr>
          <w:rFonts w:cs="Arial"/>
        </w:rPr>
      </w:pPr>
    </w:p>
    <w:p w14:paraId="24B858C8" w14:textId="77777777" w:rsidR="00D92C05" w:rsidRPr="00C664A7" w:rsidRDefault="00D92C05" w:rsidP="007279CF">
      <w:pPr>
        <w:spacing w:before="240"/>
        <w:rPr>
          <w:rFonts w:cs="Arial"/>
          <w:b/>
        </w:rPr>
      </w:pPr>
      <w:r w:rsidRPr="00B53F18">
        <w:rPr>
          <w:rFonts w:cs="Arial"/>
          <w:b/>
        </w:rPr>
        <w:lastRenderedPageBreak/>
        <w:t>15.</w:t>
      </w:r>
      <w:r w:rsidRPr="00C664A7">
        <w:rPr>
          <w:rFonts w:cs="Arial"/>
          <w:b/>
        </w:rPr>
        <w:t>2</w:t>
      </w:r>
      <w:r w:rsidRPr="00C664A7">
        <w:rPr>
          <w:rFonts w:cs="Arial"/>
          <w:b/>
        </w:rPr>
        <w:tab/>
        <w:t>Pasivos por impuesto diferidos</w:t>
      </w:r>
    </w:p>
    <w:p w14:paraId="4F32A721" w14:textId="7812EA31" w:rsidR="002610F6" w:rsidRPr="00B53F18" w:rsidRDefault="00D92C05" w:rsidP="002610F6">
      <w:pPr>
        <w:spacing w:before="240"/>
        <w:rPr>
          <w:rFonts w:cs="Arial"/>
        </w:rPr>
      </w:pPr>
      <w:r w:rsidRPr="00C664A7">
        <w:rPr>
          <w:rFonts w:cs="Arial"/>
        </w:rPr>
        <w:t>El desglose de los pasivos por impuestos diferidos registrados en el balance de situación al cierre del ejercicio es el siguiente:</w:t>
      </w:r>
    </w:p>
    <w:bookmarkStart w:id="77" w:name="_MON_1613375104"/>
    <w:bookmarkEnd w:id="77"/>
    <w:p w14:paraId="654278D9" w14:textId="7A9894A8" w:rsidR="000A4703" w:rsidRDefault="00FE0A30" w:rsidP="002610F6">
      <w:pPr>
        <w:spacing w:before="240"/>
        <w:jc w:val="center"/>
        <w:rPr>
          <w:rFonts w:cs="Arial"/>
        </w:rPr>
      </w:pPr>
      <w:r w:rsidRPr="00B53F18">
        <w:rPr>
          <w:rFonts w:cs="Arial"/>
        </w:rPr>
        <w:object w:dxaOrig="8014" w:dyaOrig="4783" w14:anchorId="67C9FBC3">
          <v:shape id="_x0000_i1055" type="#_x0000_t75" style="width:338.5pt;height:200.1pt" o:ole="">
            <v:imagedata r:id="rId77" o:title=""/>
          </v:shape>
          <o:OLEObject Type="Embed" ProgID="Excel.Sheet.12" ShapeID="_x0000_i1055" DrawAspect="Content" ObjectID="_1805087287" r:id="rId78"/>
        </w:object>
      </w:r>
    </w:p>
    <w:p w14:paraId="42231132" w14:textId="61223EE6" w:rsidR="0054688D" w:rsidRDefault="0054688D">
      <w:pPr>
        <w:jc w:val="left"/>
        <w:rPr>
          <w:rFonts w:cs="Arial"/>
          <w:b/>
        </w:rPr>
      </w:pPr>
    </w:p>
    <w:p w14:paraId="75BD32A2" w14:textId="37CF3E5D" w:rsidR="00ED56D6" w:rsidRDefault="00ED56D6">
      <w:pPr>
        <w:jc w:val="left"/>
        <w:rPr>
          <w:rFonts w:cs="Arial"/>
          <w:b/>
        </w:rPr>
      </w:pPr>
    </w:p>
    <w:p w14:paraId="249840A4" w14:textId="77777777" w:rsidR="00ED56D6" w:rsidRDefault="00ED56D6">
      <w:pPr>
        <w:jc w:val="left"/>
        <w:rPr>
          <w:rFonts w:cs="Arial"/>
          <w:b/>
        </w:rPr>
      </w:pPr>
    </w:p>
    <w:bookmarkEnd w:id="66"/>
    <w:p w14:paraId="56578860" w14:textId="77777777" w:rsidR="00740AC6" w:rsidRPr="00F568DE" w:rsidRDefault="00740AC6" w:rsidP="00740AC6">
      <w:pPr>
        <w:jc w:val="left"/>
        <w:rPr>
          <w:rFonts w:cs="Arial"/>
          <w:b/>
        </w:rPr>
      </w:pPr>
      <w:r w:rsidRPr="008B38E3">
        <w:rPr>
          <w:rFonts w:cs="Arial"/>
          <w:b/>
        </w:rPr>
        <w:t>16</w:t>
      </w:r>
      <w:r w:rsidRPr="00E774DF">
        <w:rPr>
          <w:rFonts w:cs="Arial"/>
          <w:b/>
        </w:rPr>
        <w:t>.</w:t>
      </w:r>
      <w:r w:rsidRPr="00E774DF">
        <w:rPr>
          <w:rFonts w:cs="Arial"/>
          <w:b/>
        </w:rPr>
        <w:tab/>
      </w:r>
      <w:r w:rsidRPr="00F568DE">
        <w:rPr>
          <w:rFonts w:cs="Arial"/>
          <w:b/>
        </w:rPr>
        <w:t>INGRESOS Y GASTOS</w:t>
      </w:r>
    </w:p>
    <w:p w14:paraId="60DD54BD" w14:textId="77777777" w:rsidR="001F3E69" w:rsidRPr="00F568DE" w:rsidRDefault="00DF1165" w:rsidP="00DF1165">
      <w:pPr>
        <w:spacing w:before="240"/>
        <w:rPr>
          <w:rFonts w:cs="Arial"/>
          <w:b/>
        </w:rPr>
      </w:pPr>
      <w:bookmarkStart w:id="78" w:name="_Hlk944239"/>
      <w:bookmarkStart w:id="79" w:name="_Hlk190691680"/>
      <w:r w:rsidRPr="00F568DE">
        <w:rPr>
          <w:rFonts w:cs="Arial"/>
          <w:b/>
        </w:rPr>
        <w:t>16.1</w:t>
      </w:r>
      <w:r w:rsidRPr="00F568DE">
        <w:rPr>
          <w:rFonts w:cs="Arial"/>
          <w:b/>
        </w:rPr>
        <w:tab/>
      </w:r>
      <w:r w:rsidR="0062532A" w:rsidRPr="00F568DE">
        <w:rPr>
          <w:rFonts w:cs="Arial"/>
          <w:b/>
        </w:rPr>
        <w:t>Segmentación de</w:t>
      </w:r>
      <w:r w:rsidR="004663C4" w:rsidRPr="00F568DE">
        <w:rPr>
          <w:rFonts w:cs="Arial"/>
          <w:b/>
        </w:rPr>
        <w:t>l importe neto de la cifra de negocios y de otros ingresos de explotación</w:t>
      </w:r>
      <w:r w:rsidRPr="00F568DE">
        <w:rPr>
          <w:rFonts w:cs="Arial"/>
          <w:b/>
        </w:rPr>
        <w:t xml:space="preserve"> </w:t>
      </w:r>
      <w:r w:rsidR="004663C4" w:rsidRPr="00F568DE">
        <w:rPr>
          <w:rFonts w:cs="Arial"/>
          <w:b/>
        </w:rPr>
        <w:t>por</w:t>
      </w:r>
      <w:r w:rsidRPr="00F568DE">
        <w:rPr>
          <w:rFonts w:cs="Arial"/>
          <w:b/>
        </w:rPr>
        <w:t xml:space="preserve"> </w:t>
      </w:r>
      <w:bookmarkStart w:id="80" w:name="OLE_LINK2"/>
      <w:r w:rsidRPr="00F568DE">
        <w:rPr>
          <w:rFonts w:cs="Arial"/>
          <w:b/>
        </w:rPr>
        <w:t>actividades realizadas en el ejercicio de los cometidos confiados por el poder adjudicador</w:t>
      </w:r>
      <w:bookmarkEnd w:id="80"/>
      <w:r w:rsidRPr="00F568DE">
        <w:rPr>
          <w:rFonts w:cs="Arial"/>
          <w:b/>
        </w:rPr>
        <w:t>.</w:t>
      </w:r>
    </w:p>
    <w:p w14:paraId="01F3E560" w14:textId="76011F52" w:rsidR="008837D1" w:rsidRPr="00F568DE" w:rsidRDefault="00DE37F0" w:rsidP="00DF1165">
      <w:pPr>
        <w:spacing w:before="240"/>
        <w:rPr>
          <w:rFonts w:cs="Arial"/>
          <w:bCs/>
        </w:rPr>
      </w:pPr>
      <w:r w:rsidRPr="00F568DE">
        <w:rPr>
          <w:rFonts w:cs="Arial"/>
          <w:bCs/>
        </w:rPr>
        <w:t>La distribución del importe neto de la cifra de negocios y de</w:t>
      </w:r>
      <w:r w:rsidR="00073B0D" w:rsidRPr="00F568DE">
        <w:rPr>
          <w:rFonts w:cs="Arial"/>
          <w:bCs/>
        </w:rPr>
        <w:t xml:space="preserve"> la partida </w:t>
      </w:r>
      <w:r w:rsidRPr="00F568DE">
        <w:rPr>
          <w:rFonts w:cs="Arial"/>
          <w:bCs/>
        </w:rPr>
        <w:t>otros ingresos de explotación en función de que la actividad esté desarrollada en el ejercicio de los cometidos confiados por el poder adjudicador</w:t>
      </w:r>
      <w:r w:rsidR="00DB2A7E" w:rsidRPr="00F568DE">
        <w:rPr>
          <w:rFonts w:cs="Arial"/>
          <w:bCs/>
        </w:rPr>
        <w:t>,</w:t>
      </w:r>
      <w:r w:rsidRPr="00F568DE">
        <w:rPr>
          <w:rFonts w:cs="Arial"/>
          <w:bCs/>
        </w:rPr>
        <w:t xml:space="preserve"> es la siguiente</w:t>
      </w:r>
      <w:r w:rsidR="004663C4" w:rsidRPr="00F568DE">
        <w:rPr>
          <w:rFonts w:cs="Arial"/>
          <w:bCs/>
        </w:rPr>
        <w:t>:</w:t>
      </w:r>
    </w:p>
    <w:bookmarkStart w:id="81" w:name="_MON_1674993270"/>
    <w:bookmarkEnd w:id="81"/>
    <w:p w14:paraId="3736E6DC" w14:textId="0BBDB8AD" w:rsidR="00DF1165" w:rsidRPr="00F568DE" w:rsidRDefault="00367CEC" w:rsidP="001F3E69">
      <w:pPr>
        <w:spacing w:before="240"/>
        <w:jc w:val="center"/>
        <w:rPr>
          <w:rFonts w:cs="Arial"/>
          <w:b/>
        </w:rPr>
      </w:pPr>
      <w:r w:rsidRPr="00F568DE">
        <w:rPr>
          <w:rFonts w:cs="Arial"/>
          <w:b/>
        </w:rPr>
        <w:object w:dxaOrig="7404" w:dyaOrig="4261" w14:anchorId="4ACC559C">
          <v:shape id="_x0000_i1056" type="#_x0000_t75" style="width:347.85pt;height:197.3pt" o:ole="">
            <v:imagedata r:id="rId79" o:title=""/>
          </v:shape>
          <o:OLEObject Type="Embed" ProgID="Excel.Sheet.12" ShapeID="_x0000_i1056" DrawAspect="Content" ObjectID="_1805087288" r:id="rId80"/>
        </w:object>
      </w:r>
    </w:p>
    <w:p w14:paraId="50436980" w14:textId="5A06D5AF" w:rsidR="00DF1165" w:rsidRDefault="001F3E69" w:rsidP="00DF1165">
      <w:pPr>
        <w:spacing w:before="240"/>
        <w:rPr>
          <w:rFonts w:cs="Arial"/>
          <w:bCs/>
        </w:rPr>
      </w:pPr>
      <w:r w:rsidRPr="00F568DE">
        <w:rPr>
          <w:rFonts w:cs="Arial"/>
          <w:bCs/>
        </w:rPr>
        <w:t>* Corresponde a la actividad de comercio al mayor de productos alimentarios que viene desarrollando la Sociedad en el ejercicio de los cometidos confiados por el poder adjudicador y que se ha formalizado mediante el Acuerdo del Gobierno de Canarias de fecha 18 de diciembre de 2020.</w:t>
      </w:r>
    </w:p>
    <w:p w14:paraId="59AC79C4" w14:textId="77777777" w:rsidR="00740AC6" w:rsidRPr="00F568DE" w:rsidRDefault="007279CF" w:rsidP="00740AC6">
      <w:pPr>
        <w:spacing w:before="240"/>
        <w:rPr>
          <w:rFonts w:cs="Arial"/>
          <w:b/>
        </w:rPr>
      </w:pPr>
      <w:r w:rsidRPr="00F568DE">
        <w:rPr>
          <w:rFonts w:cs="Arial"/>
          <w:b/>
        </w:rPr>
        <w:lastRenderedPageBreak/>
        <w:t>16.</w:t>
      </w:r>
      <w:r w:rsidR="001F3E69" w:rsidRPr="00F568DE">
        <w:rPr>
          <w:rFonts w:cs="Arial"/>
          <w:b/>
        </w:rPr>
        <w:t>2</w:t>
      </w:r>
      <w:r w:rsidRPr="00F568DE">
        <w:rPr>
          <w:rFonts w:cs="Arial"/>
          <w:b/>
        </w:rPr>
        <w:tab/>
        <w:t>Importe neto de la cifra de negocios</w:t>
      </w:r>
    </w:p>
    <w:p w14:paraId="48C82CC5" w14:textId="40F680FC" w:rsidR="007E1428" w:rsidRDefault="00740AC6" w:rsidP="006B2F7D">
      <w:pPr>
        <w:widowControl w:val="0"/>
        <w:autoSpaceDE w:val="0"/>
        <w:autoSpaceDN w:val="0"/>
        <w:adjustRightInd w:val="0"/>
        <w:spacing w:before="240"/>
        <w:rPr>
          <w:rFonts w:cs="Arial"/>
          <w:color w:val="000000"/>
        </w:rPr>
      </w:pPr>
      <w:r w:rsidRPr="00F568DE">
        <w:rPr>
          <w:rFonts w:cs="Arial"/>
          <w:color w:val="000000"/>
        </w:rPr>
        <w:t>La distribución del importe neto de la cifra de negocios de la Sociedad correspondiente a sus operaciones continuadas por categorías de actividades, así como por mercados geográficos, es la siguiente:</w:t>
      </w:r>
      <w:bookmarkStart w:id="82" w:name="_MON_1392633322"/>
      <w:bookmarkStart w:id="83" w:name="_MON_1390382963"/>
      <w:bookmarkStart w:id="84" w:name="_MON_1547897173"/>
      <w:bookmarkEnd w:id="82"/>
      <w:bookmarkEnd w:id="83"/>
      <w:bookmarkEnd w:id="84"/>
    </w:p>
    <w:bookmarkStart w:id="85" w:name="_MON_1549253301"/>
    <w:bookmarkEnd w:id="85"/>
    <w:p w14:paraId="426A4FDE" w14:textId="356467CD" w:rsidR="007E1428" w:rsidRPr="00C563C4" w:rsidRDefault="001E3617" w:rsidP="007E1428">
      <w:pPr>
        <w:widowControl w:val="0"/>
        <w:autoSpaceDE w:val="0"/>
        <w:autoSpaceDN w:val="0"/>
        <w:adjustRightInd w:val="0"/>
        <w:spacing w:before="240"/>
        <w:jc w:val="center"/>
        <w:rPr>
          <w:rFonts w:cs="Arial"/>
          <w:color w:val="000000"/>
          <w:highlight w:val="yellow"/>
        </w:rPr>
      </w:pPr>
      <w:r w:rsidRPr="001E3617">
        <w:rPr>
          <w:rFonts w:cs="Arial"/>
          <w:color w:val="000000"/>
        </w:rPr>
        <w:object w:dxaOrig="7935" w:dyaOrig="4005" w14:anchorId="1BFD1F7C">
          <v:shape id="_x0000_i1057" type="#_x0000_t75" style="width:345.95pt;height:177.65pt" o:ole="">
            <v:imagedata r:id="rId81" o:title=""/>
          </v:shape>
          <o:OLEObject Type="Embed" ProgID="Excel.Sheet.12" ShapeID="_x0000_i1057" DrawAspect="Content" ObjectID="_1805087289" r:id="rId82"/>
        </w:object>
      </w:r>
    </w:p>
    <w:p w14:paraId="0386CA60" w14:textId="77777777" w:rsidR="00740AC6" w:rsidRPr="00C563C4" w:rsidRDefault="007E1428" w:rsidP="006B2F7D">
      <w:pPr>
        <w:widowControl w:val="0"/>
        <w:autoSpaceDE w:val="0"/>
        <w:autoSpaceDN w:val="0"/>
        <w:adjustRightInd w:val="0"/>
        <w:spacing w:before="240"/>
        <w:rPr>
          <w:rFonts w:cs="Arial"/>
          <w:color w:val="000000"/>
          <w:highlight w:val="yellow"/>
        </w:rPr>
      </w:pPr>
      <w:r w:rsidRPr="00C563C4">
        <w:rPr>
          <w:rFonts w:cs="Arial"/>
          <w:color w:val="000000"/>
          <w:highlight w:val="yellow"/>
        </w:rPr>
        <w:t xml:space="preserve"> </w:t>
      </w:r>
    </w:p>
    <w:p w14:paraId="650E665E" w14:textId="77777777" w:rsidR="00740AC6" w:rsidRPr="00B75E03" w:rsidRDefault="00740AC6" w:rsidP="00740AC6">
      <w:pPr>
        <w:spacing w:before="120"/>
        <w:rPr>
          <w:rFonts w:cs="Arial"/>
          <w:b/>
        </w:rPr>
      </w:pPr>
      <w:r w:rsidRPr="00B75E03">
        <w:rPr>
          <w:rFonts w:cs="Arial"/>
          <w:b/>
        </w:rPr>
        <w:t>16.</w:t>
      </w:r>
      <w:r w:rsidR="001F3E69" w:rsidRPr="00B75E03">
        <w:rPr>
          <w:rFonts w:cs="Arial"/>
          <w:b/>
        </w:rPr>
        <w:t>3</w:t>
      </w:r>
      <w:r w:rsidRPr="00B75E03">
        <w:rPr>
          <w:rFonts w:cs="Arial"/>
          <w:b/>
        </w:rPr>
        <w:tab/>
        <w:t>Consumos de mercaderías</w:t>
      </w:r>
    </w:p>
    <w:p w14:paraId="747A0567" w14:textId="51B12F4E" w:rsidR="00740AC6" w:rsidRPr="00B75E03" w:rsidRDefault="00740AC6" w:rsidP="00740AC6">
      <w:pPr>
        <w:spacing w:before="240"/>
        <w:rPr>
          <w:rFonts w:cs="Arial"/>
        </w:rPr>
      </w:pPr>
      <w:r w:rsidRPr="00B75E03">
        <w:rPr>
          <w:rFonts w:cs="Arial"/>
        </w:rPr>
        <w:t xml:space="preserve">El detalle de </w:t>
      </w:r>
      <w:r w:rsidR="008E1A07" w:rsidRPr="00B75E03">
        <w:rPr>
          <w:rFonts w:cs="Arial"/>
        </w:rPr>
        <w:t xml:space="preserve">los </w:t>
      </w:r>
      <w:r w:rsidRPr="00B75E03">
        <w:rPr>
          <w:rFonts w:cs="Arial"/>
        </w:rPr>
        <w:t>consumos de mercaderías es el siguiente:</w:t>
      </w:r>
    </w:p>
    <w:p w14:paraId="157099E2" w14:textId="77777777" w:rsidR="00F1023F" w:rsidRPr="00B75E03" w:rsidRDefault="00F1023F" w:rsidP="00740AC6">
      <w:pPr>
        <w:spacing w:before="240"/>
        <w:rPr>
          <w:rFonts w:cs="Arial"/>
        </w:rPr>
      </w:pPr>
    </w:p>
    <w:bookmarkStart w:id="86" w:name="_MON_1547897675"/>
    <w:bookmarkEnd w:id="86"/>
    <w:bookmarkStart w:id="87" w:name="_MON_1390383542"/>
    <w:bookmarkEnd w:id="87"/>
    <w:p w14:paraId="082E37C8" w14:textId="5FC863DC" w:rsidR="00740AC6" w:rsidRPr="00B75E03" w:rsidRDefault="00B75E03" w:rsidP="00740AC6">
      <w:pPr>
        <w:widowControl w:val="0"/>
        <w:autoSpaceDE w:val="0"/>
        <w:autoSpaceDN w:val="0"/>
        <w:adjustRightInd w:val="0"/>
        <w:spacing w:before="240"/>
        <w:jc w:val="center"/>
        <w:rPr>
          <w:rFonts w:cs="Arial"/>
          <w:color w:val="000000"/>
        </w:rPr>
      </w:pPr>
      <w:r w:rsidRPr="00B75E03">
        <w:rPr>
          <w:rFonts w:cs="Arial"/>
          <w:color w:val="000000"/>
        </w:rPr>
        <w:object w:dxaOrig="7452" w:dyaOrig="1472" w14:anchorId="58AD9B68">
          <v:shape id="_x0000_i1058" type="#_x0000_t75" style="width:339.45pt;height:67.3pt" o:ole="">
            <v:imagedata r:id="rId83" o:title=""/>
          </v:shape>
          <o:OLEObject Type="Embed" ProgID="Excel.Sheet.8" ShapeID="_x0000_i1058" DrawAspect="Content" ObjectID="_1805087290" r:id="rId84"/>
        </w:object>
      </w:r>
    </w:p>
    <w:p w14:paraId="701EB4C4" w14:textId="77777777" w:rsidR="00D36E70" w:rsidRPr="00B75E03" w:rsidRDefault="00D36E70" w:rsidP="00740AC6">
      <w:pPr>
        <w:spacing w:before="240"/>
        <w:rPr>
          <w:rFonts w:cs="Arial"/>
          <w:b/>
        </w:rPr>
      </w:pPr>
    </w:p>
    <w:p w14:paraId="6509BD7C" w14:textId="77777777" w:rsidR="00740AC6" w:rsidRPr="00B75E03" w:rsidRDefault="00740AC6" w:rsidP="00740AC6">
      <w:pPr>
        <w:spacing w:before="240"/>
        <w:rPr>
          <w:rFonts w:cs="Arial"/>
          <w:b/>
        </w:rPr>
      </w:pPr>
      <w:r w:rsidRPr="00B75E03">
        <w:rPr>
          <w:rFonts w:cs="Arial"/>
          <w:b/>
        </w:rPr>
        <w:t>16.</w:t>
      </w:r>
      <w:r w:rsidR="001F3E69" w:rsidRPr="00B75E03">
        <w:rPr>
          <w:rFonts w:cs="Arial"/>
          <w:b/>
        </w:rPr>
        <w:t>4</w:t>
      </w:r>
      <w:r w:rsidRPr="00B75E03">
        <w:rPr>
          <w:rFonts w:cs="Arial"/>
          <w:b/>
        </w:rPr>
        <w:tab/>
        <w:t>Consumos de materias primas y otras materias consumibles</w:t>
      </w:r>
    </w:p>
    <w:p w14:paraId="41B728AC" w14:textId="1BCC1EB6" w:rsidR="00740AC6" w:rsidRPr="00B75E03" w:rsidRDefault="00740AC6" w:rsidP="00740AC6">
      <w:pPr>
        <w:spacing w:before="240"/>
        <w:rPr>
          <w:rFonts w:cs="Arial"/>
        </w:rPr>
      </w:pPr>
      <w:r w:rsidRPr="00B75E03">
        <w:rPr>
          <w:rFonts w:cs="Arial"/>
        </w:rPr>
        <w:t xml:space="preserve">El detalle de </w:t>
      </w:r>
      <w:r w:rsidR="008E1A07" w:rsidRPr="00B75E03">
        <w:rPr>
          <w:rFonts w:cs="Arial"/>
        </w:rPr>
        <w:t xml:space="preserve">los </w:t>
      </w:r>
      <w:r w:rsidRPr="00B75E03">
        <w:rPr>
          <w:rFonts w:cs="Arial"/>
        </w:rPr>
        <w:t>consumos de materias primas y otras materias consumibles es el siguiente:</w:t>
      </w:r>
    </w:p>
    <w:p w14:paraId="00C2FB05" w14:textId="77777777" w:rsidR="00F1023F" w:rsidRPr="00B75E03" w:rsidRDefault="00F1023F" w:rsidP="00740AC6">
      <w:pPr>
        <w:spacing w:before="240"/>
        <w:rPr>
          <w:rFonts w:cs="Arial"/>
        </w:rPr>
      </w:pPr>
    </w:p>
    <w:bookmarkStart w:id="88" w:name="_MON_1547897729"/>
    <w:bookmarkEnd w:id="88"/>
    <w:bookmarkStart w:id="89" w:name="_MON_1390383900"/>
    <w:bookmarkEnd w:id="89"/>
    <w:p w14:paraId="2AA0142B" w14:textId="6D9DEE6C" w:rsidR="00740AC6" w:rsidRDefault="00B75E03" w:rsidP="00740AC6">
      <w:pPr>
        <w:spacing w:before="240"/>
        <w:jc w:val="center"/>
        <w:rPr>
          <w:rFonts w:cs="Arial"/>
        </w:rPr>
      </w:pPr>
      <w:r w:rsidRPr="00B75E03">
        <w:rPr>
          <w:rFonts w:cs="Arial"/>
        </w:rPr>
        <w:object w:dxaOrig="8110" w:dyaOrig="1472" w14:anchorId="172FC9F0">
          <v:shape id="_x0000_i1059" type="#_x0000_t75" style="width:324.45pt;height:67.3pt" o:ole="">
            <v:imagedata r:id="rId85" o:title=""/>
          </v:shape>
          <o:OLEObject Type="Embed" ProgID="Excel.Sheet.8" ShapeID="_x0000_i1059" DrawAspect="Content" ObjectID="_1805087291" r:id="rId86"/>
        </w:object>
      </w:r>
    </w:p>
    <w:p w14:paraId="037361F1" w14:textId="77777777" w:rsidR="00B75E03" w:rsidRPr="00B75E03" w:rsidRDefault="00B75E03" w:rsidP="00740AC6">
      <w:pPr>
        <w:spacing w:before="240"/>
        <w:jc w:val="center"/>
        <w:rPr>
          <w:rFonts w:cs="Arial"/>
        </w:rPr>
      </w:pPr>
    </w:p>
    <w:bookmarkEnd w:id="78"/>
    <w:p w14:paraId="60493874" w14:textId="5324AC8E" w:rsidR="0046702E" w:rsidRPr="002876DB" w:rsidRDefault="006B2F7D" w:rsidP="005E1A22">
      <w:pPr>
        <w:spacing w:before="240"/>
        <w:rPr>
          <w:rFonts w:cs="Arial"/>
          <w:b/>
        </w:rPr>
      </w:pPr>
      <w:r w:rsidRPr="00B75E03">
        <w:rPr>
          <w:rFonts w:cs="Arial"/>
          <w:b/>
        </w:rPr>
        <w:t>1</w:t>
      </w:r>
      <w:r w:rsidR="009B42D9" w:rsidRPr="00B75E03">
        <w:rPr>
          <w:rFonts w:cs="Arial"/>
          <w:b/>
        </w:rPr>
        <w:t>6</w:t>
      </w:r>
      <w:r w:rsidR="005E1A22" w:rsidRPr="00B75E03">
        <w:rPr>
          <w:rFonts w:cs="Arial"/>
          <w:b/>
        </w:rPr>
        <w:t>.</w:t>
      </w:r>
      <w:r w:rsidR="001F3E69" w:rsidRPr="00B75E03">
        <w:rPr>
          <w:rFonts w:cs="Arial"/>
          <w:b/>
        </w:rPr>
        <w:t>5</w:t>
      </w:r>
      <w:r w:rsidR="005E1A22" w:rsidRPr="00B75E03">
        <w:rPr>
          <w:rFonts w:cs="Arial"/>
          <w:b/>
        </w:rPr>
        <w:tab/>
      </w:r>
      <w:r w:rsidR="003C4DF7" w:rsidRPr="00B75E03">
        <w:rPr>
          <w:rFonts w:cs="Arial"/>
          <w:b/>
        </w:rPr>
        <w:t>Gastos de personal</w:t>
      </w:r>
    </w:p>
    <w:p w14:paraId="3ED9E8C3" w14:textId="3A0D0F3F" w:rsidR="00D309E6" w:rsidRPr="002876DB" w:rsidRDefault="0046702E" w:rsidP="0046702E">
      <w:pPr>
        <w:spacing w:before="240"/>
        <w:rPr>
          <w:rFonts w:cs="Arial"/>
        </w:rPr>
      </w:pPr>
      <w:r w:rsidRPr="002876DB">
        <w:rPr>
          <w:rFonts w:cs="Arial"/>
        </w:rPr>
        <w:t xml:space="preserve">El detalle de </w:t>
      </w:r>
      <w:r w:rsidR="008E1A07" w:rsidRPr="002876DB">
        <w:rPr>
          <w:rFonts w:cs="Arial"/>
        </w:rPr>
        <w:t xml:space="preserve">los </w:t>
      </w:r>
      <w:r w:rsidR="003C4DF7" w:rsidRPr="002876DB">
        <w:rPr>
          <w:rFonts w:cs="Arial"/>
        </w:rPr>
        <w:t>gastos de personal es el siguiente:</w:t>
      </w:r>
    </w:p>
    <w:bookmarkStart w:id="90" w:name="_MON_1518428798"/>
    <w:bookmarkEnd w:id="90"/>
    <w:bookmarkStart w:id="91" w:name="_MON_1390383988"/>
    <w:bookmarkEnd w:id="91"/>
    <w:p w14:paraId="622C5133" w14:textId="7829B49E" w:rsidR="003C4DF7" w:rsidRPr="002876DB" w:rsidRDefault="002876DB" w:rsidP="003C4DF7">
      <w:pPr>
        <w:spacing w:before="240"/>
        <w:jc w:val="center"/>
        <w:rPr>
          <w:rFonts w:cs="Arial"/>
        </w:rPr>
      </w:pPr>
      <w:r w:rsidRPr="002876DB">
        <w:rPr>
          <w:rFonts w:cs="Arial"/>
        </w:rPr>
        <w:object w:dxaOrig="6795" w:dyaOrig="3060" w14:anchorId="1F62B7E8">
          <v:shape id="_x0000_i1060" type="#_x0000_t75" style="width:309.5pt;height:138.4pt" o:ole="">
            <v:imagedata r:id="rId87" o:title=""/>
          </v:shape>
          <o:OLEObject Type="Embed" ProgID="Excel.Sheet.8" ShapeID="_x0000_i1060" DrawAspect="Content" ObjectID="_1805087292" r:id="rId88"/>
        </w:object>
      </w:r>
    </w:p>
    <w:p w14:paraId="5933F029" w14:textId="77777777" w:rsidR="003C4DF7" w:rsidRPr="002876DB" w:rsidRDefault="003C4DF7" w:rsidP="001F7EB6">
      <w:pPr>
        <w:jc w:val="left"/>
        <w:rPr>
          <w:rFonts w:cs="Arial"/>
          <w:b/>
        </w:rPr>
      </w:pPr>
    </w:p>
    <w:p w14:paraId="38913E8B" w14:textId="77777777" w:rsidR="000E472F" w:rsidRPr="002876DB" w:rsidRDefault="000E472F" w:rsidP="00A5160A">
      <w:pPr>
        <w:rPr>
          <w:rFonts w:cs="Arial"/>
          <w:b/>
        </w:rPr>
      </w:pPr>
    </w:p>
    <w:p w14:paraId="371938AF" w14:textId="62F84510" w:rsidR="00A5160A" w:rsidRDefault="00A5160A" w:rsidP="00A5160A">
      <w:pPr>
        <w:rPr>
          <w:rFonts w:cs="Arial"/>
          <w:bCs/>
        </w:rPr>
      </w:pPr>
      <w:r w:rsidRPr="00E03077">
        <w:rPr>
          <w:rFonts w:cs="Arial"/>
          <w:bCs/>
        </w:rPr>
        <w:t xml:space="preserve">Se recoge en el apartado de provisiones </w:t>
      </w:r>
      <w:r w:rsidR="002876DB" w:rsidRPr="00E03077">
        <w:rPr>
          <w:rFonts w:cs="Arial"/>
          <w:bCs/>
        </w:rPr>
        <w:t>el incremento salarial adicional del 0,50%</w:t>
      </w:r>
      <w:r w:rsidR="0045213E" w:rsidRPr="00E03077">
        <w:rPr>
          <w:rFonts w:cs="Arial"/>
          <w:bCs/>
        </w:rPr>
        <w:t xml:space="preserve"> </w:t>
      </w:r>
      <w:r w:rsidR="00E03077" w:rsidRPr="00E03077">
        <w:rPr>
          <w:rFonts w:cs="Arial"/>
          <w:bCs/>
        </w:rPr>
        <w:t xml:space="preserve">correspondiente a 2024 </w:t>
      </w:r>
      <w:r w:rsidR="0045213E" w:rsidRPr="00E03077">
        <w:rPr>
          <w:rFonts w:cs="Arial"/>
          <w:bCs/>
        </w:rPr>
        <w:t>y</w:t>
      </w:r>
      <w:r w:rsidR="002876DB" w:rsidRPr="00E03077">
        <w:rPr>
          <w:rFonts w:cs="Arial"/>
          <w:bCs/>
        </w:rPr>
        <w:t xml:space="preserve"> el devengo de horas nocturnas no abonad</w:t>
      </w:r>
      <w:r w:rsidR="00E03077" w:rsidRPr="00E03077">
        <w:rPr>
          <w:rFonts w:cs="Arial"/>
          <w:bCs/>
        </w:rPr>
        <w:t>o</w:t>
      </w:r>
      <w:r w:rsidR="002876DB" w:rsidRPr="00E03077">
        <w:rPr>
          <w:rFonts w:cs="Arial"/>
          <w:bCs/>
        </w:rPr>
        <w:t xml:space="preserve">s, así como </w:t>
      </w:r>
      <w:r w:rsidRPr="00E03077">
        <w:rPr>
          <w:rFonts w:cs="Arial"/>
          <w:bCs/>
        </w:rPr>
        <w:t xml:space="preserve">la </w:t>
      </w:r>
      <w:r w:rsidR="00702A93" w:rsidRPr="00E03077">
        <w:rPr>
          <w:rFonts w:cs="Arial"/>
          <w:bCs/>
        </w:rPr>
        <w:t>aplicación</w:t>
      </w:r>
      <w:r w:rsidR="002876DB" w:rsidRPr="00E03077">
        <w:rPr>
          <w:rFonts w:cs="Arial"/>
          <w:bCs/>
        </w:rPr>
        <w:t xml:space="preserve"> de la provisión del incremento salarial adicional del 0,50% de 202</w:t>
      </w:r>
      <w:r w:rsidR="00E03077" w:rsidRPr="00E03077">
        <w:rPr>
          <w:rFonts w:cs="Arial"/>
          <w:bCs/>
        </w:rPr>
        <w:t>3</w:t>
      </w:r>
      <w:r w:rsidR="002876DB" w:rsidRPr="00E03077">
        <w:rPr>
          <w:rFonts w:cs="Arial"/>
          <w:bCs/>
        </w:rPr>
        <w:t>.</w:t>
      </w:r>
      <w:r w:rsidR="00702A93" w:rsidRPr="00E03077">
        <w:rPr>
          <w:rFonts w:cs="Arial"/>
          <w:bCs/>
        </w:rPr>
        <w:t xml:space="preserve"> </w:t>
      </w:r>
      <w:r w:rsidR="002876DB" w:rsidRPr="00E03077">
        <w:rPr>
          <w:rFonts w:cs="Arial"/>
          <w:bCs/>
        </w:rPr>
        <w:t>D</w:t>
      </w:r>
      <w:r w:rsidR="00702A93" w:rsidRPr="00E03077">
        <w:rPr>
          <w:rFonts w:cs="Arial"/>
          <w:bCs/>
        </w:rPr>
        <w:t>urante el ejercicio 202</w:t>
      </w:r>
      <w:r w:rsidR="00FD4E5E" w:rsidRPr="00E03077">
        <w:rPr>
          <w:rFonts w:cs="Arial"/>
          <w:bCs/>
        </w:rPr>
        <w:t>3</w:t>
      </w:r>
      <w:r w:rsidR="00702A93" w:rsidRPr="00E03077">
        <w:rPr>
          <w:rFonts w:cs="Arial"/>
          <w:bCs/>
        </w:rPr>
        <w:t xml:space="preserve"> </w:t>
      </w:r>
      <w:r w:rsidR="002876DB" w:rsidRPr="00E03077">
        <w:rPr>
          <w:rFonts w:cs="Arial"/>
          <w:bCs/>
        </w:rPr>
        <w:t>se recoge la aplicación</w:t>
      </w:r>
      <w:r w:rsidR="00702EA0" w:rsidRPr="00E03077">
        <w:rPr>
          <w:rFonts w:cs="Arial"/>
          <w:bCs/>
        </w:rPr>
        <w:t xml:space="preserve"> </w:t>
      </w:r>
      <w:r w:rsidR="00702A93" w:rsidRPr="00E03077">
        <w:rPr>
          <w:rFonts w:cs="Arial"/>
          <w:bCs/>
        </w:rPr>
        <w:t>de las</w:t>
      </w:r>
      <w:r w:rsidRPr="00E03077">
        <w:rPr>
          <w:rFonts w:cs="Arial"/>
          <w:bCs/>
        </w:rPr>
        <w:t xml:space="preserve"> reclamaciones del personal derivadas de demandas interpuestas durante l</w:t>
      </w:r>
      <w:r w:rsidR="00C25864" w:rsidRPr="00E03077">
        <w:rPr>
          <w:rFonts w:cs="Arial"/>
          <w:bCs/>
        </w:rPr>
        <w:t>os</w:t>
      </w:r>
      <w:r w:rsidRPr="00E03077">
        <w:rPr>
          <w:rFonts w:cs="Arial"/>
          <w:bCs/>
        </w:rPr>
        <w:t xml:space="preserve"> ejercicio</w:t>
      </w:r>
      <w:r w:rsidR="00C25864" w:rsidRPr="00E03077">
        <w:rPr>
          <w:rFonts w:cs="Arial"/>
          <w:bCs/>
        </w:rPr>
        <w:t>s</w:t>
      </w:r>
      <w:r w:rsidRPr="00E03077">
        <w:rPr>
          <w:rFonts w:cs="Arial"/>
          <w:bCs/>
        </w:rPr>
        <w:t xml:space="preserve"> 20</w:t>
      </w:r>
      <w:r w:rsidR="00B72F66" w:rsidRPr="00E03077">
        <w:rPr>
          <w:rFonts w:cs="Arial"/>
          <w:bCs/>
        </w:rPr>
        <w:t>20</w:t>
      </w:r>
      <w:r w:rsidR="003D538F" w:rsidRPr="00E03077">
        <w:rPr>
          <w:rFonts w:cs="Arial"/>
          <w:bCs/>
        </w:rPr>
        <w:t xml:space="preserve"> </w:t>
      </w:r>
      <w:r w:rsidR="00C25864" w:rsidRPr="00E03077">
        <w:rPr>
          <w:rFonts w:cs="Arial"/>
          <w:bCs/>
        </w:rPr>
        <w:t>y 20</w:t>
      </w:r>
      <w:r w:rsidR="00B72F66" w:rsidRPr="00E03077">
        <w:rPr>
          <w:rFonts w:cs="Arial"/>
          <w:bCs/>
        </w:rPr>
        <w:t>19</w:t>
      </w:r>
      <w:r w:rsidR="00C25864" w:rsidRPr="00E03077">
        <w:rPr>
          <w:rFonts w:cs="Arial"/>
          <w:bCs/>
        </w:rPr>
        <w:t xml:space="preserve"> </w:t>
      </w:r>
      <w:r w:rsidR="003D538F" w:rsidRPr="00E03077">
        <w:rPr>
          <w:rFonts w:cs="Arial"/>
          <w:bCs/>
        </w:rPr>
        <w:t>(Nota 13.2)</w:t>
      </w:r>
      <w:r w:rsidRPr="00E03077">
        <w:rPr>
          <w:rFonts w:cs="Arial"/>
          <w:bCs/>
        </w:rPr>
        <w:t>.</w:t>
      </w:r>
    </w:p>
    <w:p w14:paraId="13A52293" w14:textId="77777777" w:rsidR="003431F3" w:rsidRDefault="003431F3" w:rsidP="00A5160A">
      <w:pPr>
        <w:rPr>
          <w:rFonts w:cs="Arial"/>
          <w:bCs/>
        </w:rPr>
      </w:pPr>
    </w:p>
    <w:bookmarkEnd w:id="79"/>
    <w:p w14:paraId="04BA9D0B" w14:textId="15385E76" w:rsidR="0046702E" w:rsidRPr="00CB660D" w:rsidRDefault="001F7EB6" w:rsidP="001F7EB6">
      <w:pPr>
        <w:jc w:val="left"/>
        <w:rPr>
          <w:rFonts w:cs="Arial"/>
          <w:b/>
        </w:rPr>
      </w:pPr>
      <w:r w:rsidRPr="00CB660D">
        <w:rPr>
          <w:rFonts w:cs="Arial"/>
          <w:b/>
        </w:rPr>
        <w:t>1</w:t>
      </w:r>
      <w:r w:rsidR="009B42D9" w:rsidRPr="00CB660D">
        <w:rPr>
          <w:rFonts w:cs="Arial"/>
          <w:b/>
        </w:rPr>
        <w:t>6</w:t>
      </w:r>
      <w:r w:rsidRPr="00CB660D">
        <w:rPr>
          <w:rFonts w:cs="Arial"/>
          <w:b/>
        </w:rPr>
        <w:t>.</w:t>
      </w:r>
      <w:r w:rsidR="001F3E69">
        <w:rPr>
          <w:rFonts w:cs="Arial"/>
          <w:b/>
        </w:rPr>
        <w:t>6</w:t>
      </w:r>
      <w:r w:rsidRPr="00CB660D">
        <w:rPr>
          <w:rFonts w:cs="Arial"/>
          <w:b/>
        </w:rPr>
        <w:tab/>
      </w:r>
      <w:r w:rsidR="001B3B40">
        <w:rPr>
          <w:rFonts w:cs="Arial"/>
          <w:b/>
        </w:rPr>
        <w:t>Otros gastos de explotación</w:t>
      </w:r>
    </w:p>
    <w:p w14:paraId="06276E50" w14:textId="299185C1" w:rsidR="0046702E" w:rsidRDefault="0046702E" w:rsidP="0046702E">
      <w:pPr>
        <w:spacing w:before="240"/>
        <w:ind w:left="357" w:hanging="357"/>
        <w:rPr>
          <w:rFonts w:cs="Arial"/>
        </w:rPr>
      </w:pPr>
      <w:r w:rsidRPr="00CB660D">
        <w:rPr>
          <w:rFonts w:cs="Arial"/>
        </w:rPr>
        <w:t>El detalle de</w:t>
      </w:r>
      <w:r w:rsidR="008E1A07">
        <w:rPr>
          <w:rFonts w:cs="Arial"/>
        </w:rPr>
        <w:t xml:space="preserve"> los</w:t>
      </w:r>
      <w:r w:rsidRPr="00CB660D">
        <w:rPr>
          <w:rFonts w:cs="Arial"/>
        </w:rPr>
        <w:t xml:space="preserve"> </w:t>
      </w:r>
      <w:r w:rsidR="004B7F47">
        <w:rPr>
          <w:rFonts w:cs="Arial"/>
        </w:rPr>
        <w:t xml:space="preserve">otros gastos de explotación </w:t>
      </w:r>
      <w:r w:rsidRPr="00CB660D">
        <w:rPr>
          <w:rFonts w:cs="Arial"/>
        </w:rPr>
        <w:t>es el siguiente:</w:t>
      </w:r>
      <w:bookmarkStart w:id="92" w:name="_MON_1390384097"/>
      <w:bookmarkEnd w:id="92"/>
    </w:p>
    <w:bookmarkStart w:id="93" w:name="_MON_1547898315"/>
    <w:bookmarkEnd w:id="93"/>
    <w:p w14:paraId="31BFB932" w14:textId="1472EFFB" w:rsidR="009E3BB1" w:rsidRDefault="00195EF7" w:rsidP="00710604">
      <w:pPr>
        <w:spacing w:before="240"/>
        <w:ind w:left="357" w:hanging="357"/>
        <w:jc w:val="center"/>
        <w:rPr>
          <w:rFonts w:cs="Arial"/>
        </w:rPr>
      </w:pPr>
      <w:r w:rsidRPr="00CB660D">
        <w:rPr>
          <w:rFonts w:cs="Arial"/>
        </w:rPr>
        <w:object w:dxaOrig="10238" w:dyaOrig="3677" w14:anchorId="29361035">
          <v:shape id="_x0000_i1061" type="#_x0000_t75" style="width:464.75pt;height:167.4pt" o:ole="">
            <v:imagedata r:id="rId89" o:title=""/>
          </v:shape>
          <o:OLEObject Type="Embed" ProgID="Excel.Sheet.8" ShapeID="_x0000_i1061" DrawAspect="Content" ObjectID="_1805087293" r:id="rId90"/>
        </w:object>
      </w:r>
    </w:p>
    <w:p w14:paraId="144B9EE0" w14:textId="77777777" w:rsidR="00137DF7" w:rsidRDefault="00AA3BEB" w:rsidP="00137DF7">
      <w:pPr>
        <w:widowControl w:val="0"/>
        <w:autoSpaceDE w:val="0"/>
        <w:autoSpaceDN w:val="0"/>
        <w:adjustRightInd w:val="0"/>
        <w:spacing w:before="240"/>
        <w:rPr>
          <w:rFonts w:cs="Arial"/>
          <w:color w:val="000000"/>
        </w:rPr>
      </w:pPr>
      <w:r w:rsidRPr="00AA3BEB">
        <w:rPr>
          <w:rFonts w:cs="Arial"/>
          <w:color w:val="000000"/>
        </w:rPr>
        <w:t>Dentro del epígrafe de Otros gastos de gestión corriente y excepcionales del año 2023 se incluye l</w:t>
      </w:r>
      <w:r>
        <w:rPr>
          <w:rFonts w:cs="Arial"/>
          <w:color w:val="000000"/>
        </w:rPr>
        <w:t xml:space="preserve">a </w:t>
      </w:r>
      <w:r w:rsidRPr="00AA3BEB">
        <w:rPr>
          <w:rFonts w:cs="Arial"/>
          <w:color w:val="000000"/>
        </w:rPr>
        <w:t xml:space="preserve">provisión por la reclamación </w:t>
      </w:r>
      <w:r>
        <w:rPr>
          <w:rFonts w:cs="Arial"/>
          <w:color w:val="000000"/>
        </w:rPr>
        <w:t>judicial de un contrato mencionada en la Nota 14 anterior.</w:t>
      </w:r>
    </w:p>
    <w:p w14:paraId="5CF29F68" w14:textId="77777777" w:rsidR="00137DF7" w:rsidRDefault="00137DF7" w:rsidP="00137DF7">
      <w:pPr>
        <w:widowControl w:val="0"/>
        <w:autoSpaceDE w:val="0"/>
        <w:autoSpaceDN w:val="0"/>
        <w:adjustRightInd w:val="0"/>
        <w:spacing w:before="240"/>
        <w:rPr>
          <w:rFonts w:eastAsia="Calibri" w:cs="Arial"/>
          <w:szCs w:val="20"/>
          <w:lang w:val="es-ES"/>
        </w:rPr>
      </w:pPr>
      <w:r w:rsidRPr="008D086C">
        <w:rPr>
          <w:rFonts w:eastAsia="Calibri" w:cs="Arial"/>
          <w:szCs w:val="20"/>
          <w:lang w:val="es-ES"/>
        </w:rPr>
        <w:t xml:space="preserve">En la noche del martes 17 de septiembre de 2024 se declara un incidente crítico en la </w:t>
      </w:r>
      <w:r>
        <w:rPr>
          <w:rFonts w:eastAsia="Calibri" w:cs="Arial"/>
          <w:szCs w:val="20"/>
          <w:lang w:val="es-ES"/>
        </w:rPr>
        <w:t>Sociedad</w:t>
      </w:r>
      <w:r w:rsidRPr="008D086C">
        <w:rPr>
          <w:rFonts w:eastAsia="Calibri" w:cs="Arial"/>
          <w:szCs w:val="20"/>
          <w:lang w:val="es-ES"/>
        </w:rPr>
        <w:t xml:space="preserve"> tras la infección con el </w:t>
      </w:r>
      <w:r w:rsidRPr="008D086C">
        <w:rPr>
          <w:rFonts w:eastAsia="Calibri" w:cs="Arial"/>
          <w:i/>
          <w:iCs/>
          <w:szCs w:val="20"/>
          <w:lang w:val="es-ES"/>
        </w:rPr>
        <w:t>ransomware</w:t>
      </w:r>
      <w:r w:rsidRPr="008D086C">
        <w:rPr>
          <w:rFonts w:eastAsia="Calibri" w:cs="Arial"/>
          <w:szCs w:val="20"/>
          <w:lang w:val="es-ES"/>
        </w:rPr>
        <w:t xml:space="preserve"> FOG. Como consecuencia del ataque, parte del parque informático de </w:t>
      </w:r>
      <w:r>
        <w:rPr>
          <w:rFonts w:eastAsia="Calibri" w:cs="Arial"/>
          <w:szCs w:val="20"/>
          <w:lang w:val="es-ES"/>
        </w:rPr>
        <w:t xml:space="preserve">la Sociedad </w:t>
      </w:r>
      <w:r w:rsidRPr="008D086C">
        <w:rPr>
          <w:rFonts w:eastAsia="Calibri" w:cs="Arial"/>
          <w:szCs w:val="20"/>
          <w:lang w:val="es-ES"/>
        </w:rPr>
        <w:t xml:space="preserve">se ve afectado, con numerosos servidores de la infraestructura de virtualización, sistemas de </w:t>
      </w:r>
      <w:r w:rsidRPr="008D086C">
        <w:rPr>
          <w:rFonts w:eastAsia="Calibri" w:cs="Arial"/>
          <w:i/>
          <w:iCs/>
          <w:szCs w:val="20"/>
          <w:lang w:val="es-ES"/>
        </w:rPr>
        <w:t>backup</w:t>
      </w:r>
      <w:r w:rsidRPr="008D086C">
        <w:rPr>
          <w:rFonts w:eastAsia="Calibri" w:cs="Arial"/>
          <w:szCs w:val="20"/>
          <w:lang w:val="es-ES"/>
        </w:rPr>
        <w:t>, controladores de dominio y equipos de usuario cifrados.</w:t>
      </w:r>
      <w:r>
        <w:rPr>
          <w:rFonts w:eastAsia="Calibri" w:cs="Arial"/>
          <w:szCs w:val="20"/>
          <w:lang w:val="es-ES"/>
        </w:rPr>
        <w:t xml:space="preserve"> </w:t>
      </w:r>
      <w:r w:rsidRPr="008D086C">
        <w:rPr>
          <w:rFonts w:eastAsia="Calibri" w:cs="Arial"/>
          <w:szCs w:val="20"/>
          <w:lang w:val="es-ES"/>
        </w:rPr>
        <w:t>En los equipos afectados figuraban archivos cifrados con la extensión FOG.</w:t>
      </w:r>
    </w:p>
    <w:p w14:paraId="6B5F17BF" w14:textId="77777777" w:rsidR="00137DF7" w:rsidRDefault="00137DF7" w:rsidP="00137DF7">
      <w:pPr>
        <w:widowControl w:val="0"/>
        <w:autoSpaceDE w:val="0"/>
        <w:autoSpaceDN w:val="0"/>
        <w:adjustRightInd w:val="0"/>
        <w:spacing w:before="240"/>
        <w:rPr>
          <w:rFonts w:eastAsia="Calibri" w:cs="Arial"/>
          <w:szCs w:val="20"/>
          <w:lang w:val="es-ES"/>
        </w:rPr>
      </w:pPr>
      <w:r w:rsidRPr="008D086C">
        <w:rPr>
          <w:rFonts w:eastAsia="Calibri" w:cs="Arial"/>
          <w:szCs w:val="20"/>
          <w:lang w:val="es-ES"/>
        </w:rPr>
        <w:t xml:space="preserve">El Departamento de Sistemas Informáticos de </w:t>
      </w:r>
      <w:r>
        <w:rPr>
          <w:rFonts w:eastAsia="Calibri" w:cs="Arial"/>
          <w:szCs w:val="20"/>
          <w:lang w:val="es-ES"/>
        </w:rPr>
        <w:t>la Sociedad</w:t>
      </w:r>
      <w:r w:rsidRPr="008D086C">
        <w:rPr>
          <w:rFonts w:eastAsia="Calibri" w:cs="Arial"/>
          <w:szCs w:val="20"/>
          <w:lang w:val="es-ES"/>
        </w:rPr>
        <w:t xml:space="preserve"> detectó de manera temprana el incidente y se puso en contacto con el equipo de respuesta de incidentes del Centro Criptológico Nacional (CCN-CERT). Como primera medida de contención</w:t>
      </w:r>
      <w:r>
        <w:rPr>
          <w:rFonts w:eastAsia="Calibri" w:cs="Arial"/>
          <w:szCs w:val="20"/>
          <w:lang w:val="es-ES"/>
        </w:rPr>
        <w:t>,</w:t>
      </w:r>
      <w:r w:rsidRPr="008D086C">
        <w:rPr>
          <w:rFonts w:eastAsia="Calibri" w:cs="Arial"/>
          <w:szCs w:val="20"/>
          <w:lang w:val="es-ES"/>
        </w:rPr>
        <w:t xml:space="preserve"> para frenar la propagación del </w:t>
      </w:r>
      <w:r w:rsidRPr="008D086C">
        <w:rPr>
          <w:rFonts w:eastAsia="Calibri" w:cs="Arial"/>
          <w:i/>
          <w:iCs/>
          <w:szCs w:val="20"/>
          <w:lang w:val="es-ES"/>
        </w:rPr>
        <w:t>ransomware</w:t>
      </w:r>
      <w:r w:rsidRPr="008D086C">
        <w:rPr>
          <w:rFonts w:eastAsia="Calibri" w:cs="Arial"/>
          <w:szCs w:val="20"/>
          <w:lang w:val="es-ES"/>
        </w:rPr>
        <w:t xml:space="preserve"> y realizar con mayor seguridad las investigaciones oportunas para determinar la causa raíz, se toma la decisión de desconectar y apagar todos los sistemas.</w:t>
      </w:r>
    </w:p>
    <w:p w14:paraId="59ABB53A" w14:textId="353EEF07" w:rsidR="00DA526B" w:rsidRDefault="00137DF7" w:rsidP="00137DF7">
      <w:pPr>
        <w:widowControl w:val="0"/>
        <w:autoSpaceDE w:val="0"/>
        <w:autoSpaceDN w:val="0"/>
        <w:adjustRightInd w:val="0"/>
        <w:spacing w:before="240"/>
        <w:rPr>
          <w:rFonts w:eastAsia="Calibri" w:cs="Arial"/>
          <w:szCs w:val="20"/>
          <w:lang w:val="es-ES"/>
        </w:rPr>
      </w:pPr>
      <w:r>
        <w:rPr>
          <w:rFonts w:eastAsia="Calibri" w:cs="Arial"/>
          <w:szCs w:val="20"/>
          <w:lang w:val="es-ES"/>
        </w:rPr>
        <w:t>Progresivamente, se fueron restableciendo los sistemas informáticos de la Sociedad, implantando nuevas medidas técnicas de seguridad, así como nuevas redes, usuarios y aplicaciones informáticas</w:t>
      </w:r>
      <w:r w:rsidR="00DA526B">
        <w:rPr>
          <w:rFonts w:eastAsia="Calibri" w:cs="Arial"/>
          <w:szCs w:val="20"/>
          <w:lang w:val="es-ES"/>
        </w:rPr>
        <w:t>, que supusieron una serie de gastos extraordinarios no previstos para este año 2024.</w:t>
      </w:r>
    </w:p>
    <w:p w14:paraId="23308D9B" w14:textId="14A82CEF" w:rsidR="0046702E" w:rsidRPr="00A77641" w:rsidRDefault="009B42D9" w:rsidP="00137DF7">
      <w:pPr>
        <w:spacing w:before="240"/>
        <w:ind w:left="357" w:hanging="357"/>
        <w:rPr>
          <w:rFonts w:cs="Arial"/>
          <w:b/>
        </w:rPr>
      </w:pPr>
      <w:r w:rsidRPr="00A77641">
        <w:rPr>
          <w:rFonts w:cs="Arial"/>
          <w:b/>
        </w:rPr>
        <w:lastRenderedPageBreak/>
        <w:t>17</w:t>
      </w:r>
      <w:r w:rsidR="0046702E" w:rsidRPr="00A77641">
        <w:rPr>
          <w:rFonts w:cs="Arial"/>
          <w:b/>
        </w:rPr>
        <w:t>.</w:t>
      </w:r>
      <w:r w:rsidR="0046702E" w:rsidRPr="00A77641">
        <w:rPr>
          <w:rFonts w:cs="Arial"/>
          <w:b/>
        </w:rPr>
        <w:tab/>
        <w:t xml:space="preserve">OPERACIONES CON </w:t>
      </w:r>
      <w:r w:rsidR="0046702E" w:rsidRPr="00AA3BEB">
        <w:rPr>
          <w:rFonts w:cs="Arial"/>
          <w:color w:val="000000"/>
        </w:rPr>
        <w:t>PARTES</w:t>
      </w:r>
      <w:r w:rsidR="0046702E" w:rsidRPr="00A77641">
        <w:rPr>
          <w:rFonts w:cs="Arial"/>
          <w:b/>
        </w:rPr>
        <w:t xml:space="preserve"> VINCULADAS</w:t>
      </w:r>
    </w:p>
    <w:p w14:paraId="6F34EF27" w14:textId="72560AA6" w:rsidR="00E2709E" w:rsidRDefault="0046702E" w:rsidP="0046702E">
      <w:pPr>
        <w:widowControl w:val="0"/>
        <w:autoSpaceDE w:val="0"/>
        <w:autoSpaceDN w:val="0"/>
        <w:adjustRightInd w:val="0"/>
        <w:spacing w:before="240"/>
        <w:rPr>
          <w:rFonts w:cs="Arial"/>
          <w:color w:val="000000"/>
        </w:rPr>
      </w:pPr>
      <w:r w:rsidRPr="00A77641">
        <w:rPr>
          <w:rFonts w:cs="Arial"/>
          <w:color w:val="000000"/>
        </w:rPr>
        <w:t>Las partes vinculadas con las que la Sociedad ha rea</w:t>
      </w:r>
      <w:r w:rsidR="002C2286" w:rsidRPr="00A77641">
        <w:rPr>
          <w:rFonts w:cs="Arial"/>
          <w:color w:val="000000"/>
        </w:rPr>
        <w:t>lizado transacciones</w:t>
      </w:r>
      <w:r w:rsidRPr="00A77641">
        <w:rPr>
          <w:rFonts w:cs="Arial"/>
          <w:color w:val="000000"/>
        </w:rPr>
        <w:t xml:space="preserve"> </w:t>
      </w:r>
      <w:r w:rsidR="00D60058" w:rsidRPr="00A77641">
        <w:rPr>
          <w:rFonts w:cs="Arial"/>
          <w:color w:val="000000"/>
        </w:rPr>
        <w:t>durante los ejercicios 20</w:t>
      </w:r>
      <w:r w:rsidR="007D649C" w:rsidRPr="00A77641">
        <w:rPr>
          <w:rFonts w:cs="Arial"/>
          <w:color w:val="000000"/>
        </w:rPr>
        <w:t>2</w:t>
      </w:r>
      <w:r w:rsidR="00195EF7">
        <w:rPr>
          <w:rFonts w:cs="Arial"/>
          <w:color w:val="000000"/>
        </w:rPr>
        <w:t>4</w:t>
      </w:r>
      <w:r w:rsidR="00D60058" w:rsidRPr="00A77641">
        <w:rPr>
          <w:rFonts w:cs="Arial"/>
          <w:color w:val="000000"/>
        </w:rPr>
        <w:t xml:space="preserve"> y 20</w:t>
      </w:r>
      <w:r w:rsidR="005C33E5" w:rsidRPr="00A77641">
        <w:rPr>
          <w:rFonts w:cs="Arial"/>
          <w:color w:val="000000"/>
        </w:rPr>
        <w:t>2</w:t>
      </w:r>
      <w:r w:rsidR="00195EF7">
        <w:rPr>
          <w:rFonts w:cs="Arial"/>
          <w:color w:val="000000"/>
        </w:rPr>
        <w:t>3</w:t>
      </w:r>
      <w:r w:rsidR="00D60058" w:rsidRPr="00A77641">
        <w:rPr>
          <w:rFonts w:cs="Arial"/>
          <w:color w:val="000000"/>
        </w:rPr>
        <w:t xml:space="preserve"> </w:t>
      </w:r>
      <w:r w:rsidR="009B42D9" w:rsidRPr="00A77641">
        <w:rPr>
          <w:rFonts w:cs="Arial"/>
          <w:color w:val="000000"/>
        </w:rPr>
        <w:t>s</w:t>
      </w:r>
      <w:r w:rsidR="00B6382D" w:rsidRPr="00A77641">
        <w:rPr>
          <w:rFonts w:cs="Arial"/>
          <w:color w:val="000000"/>
        </w:rPr>
        <w:t xml:space="preserve">e refieren </w:t>
      </w:r>
      <w:r w:rsidR="000E4141" w:rsidRPr="00A77641">
        <w:rPr>
          <w:rFonts w:cs="Arial"/>
          <w:color w:val="000000"/>
        </w:rPr>
        <w:t xml:space="preserve">principalmente </w:t>
      </w:r>
      <w:r w:rsidR="00B6382D" w:rsidRPr="00A77641">
        <w:rPr>
          <w:rFonts w:cs="Arial"/>
          <w:color w:val="000000"/>
        </w:rPr>
        <w:t>a la</w:t>
      </w:r>
      <w:r w:rsidR="009B42D9" w:rsidRPr="00A77641">
        <w:rPr>
          <w:rFonts w:cs="Arial"/>
          <w:color w:val="000000"/>
        </w:rPr>
        <w:t xml:space="preserve"> Consejería de Agricultura, Ganadería</w:t>
      </w:r>
      <w:r w:rsidR="00195EF7">
        <w:rPr>
          <w:rFonts w:cs="Arial"/>
          <w:color w:val="000000"/>
        </w:rPr>
        <w:t>,</w:t>
      </w:r>
      <w:r w:rsidR="009B42D9" w:rsidRPr="00A77641">
        <w:rPr>
          <w:rFonts w:cs="Arial"/>
          <w:color w:val="000000"/>
        </w:rPr>
        <w:t xml:space="preserve"> Pesca</w:t>
      </w:r>
      <w:r w:rsidR="006735B1" w:rsidRPr="00A77641">
        <w:rPr>
          <w:rFonts w:cs="Arial"/>
          <w:color w:val="000000"/>
        </w:rPr>
        <w:t xml:space="preserve"> </w:t>
      </w:r>
      <w:r w:rsidR="00195EF7">
        <w:rPr>
          <w:rFonts w:cs="Arial"/>
          <w:color w:val="000000"/>
        </w:rPr>
        <w:t xml:space="preserve">y Soberanía Alimentaria </w:t>
      </w:r>
      <w:r w:rsidR="00B6382D" w:rsidRPr="00A77641">
        <w:rPr>
          <w:rFonts w:cs="Arial"/>
          <w:color w:val="000000"/>
        </w:rPr>
        <w:t>del Gobierno de Canarias</w:t>
      </w:r>
      <w:r w:rsidR="000E4141" w:rsidRPr="00A77641">
        <w:rPr>
          <w:rFonts w:cs="Arial"/>
          <w:color w:val="000000"/>
        </w:rPr>
        <w:t xml:space="preserve"> y sus organismos autónomos</w:t>
      </w:r>
      <w:r w:rsidR="00B6382D" w:rsidRPr="00A77641">
        <w:rPr>
          <w:rFonts w:cs="Arial"/>
          <w:color w:val="000000"/>
        </w:rPr>
        <w:t>.</w:t>
      </w:r>
      <w:r w:rsidR="009B42D9" w:rsidRPr="00A77641">
        <w:rPr>
          <w:rFonts w:cs="Arial"/>
          <w:color w:val="000000"/>
        </w:rPr>
        <w:t xml:space="preserve"> </w:t>
      </w:r>
      <w:r w:rsidR="00B6382D" w:rsidRPr="00A77641">
        <w:rPr>
          <w:rFonts w:cs="Arial"/>
          <w:color w:val="000000"/>
        </w:rPr>
        <w:t>L</w:t>
      </w:r>
      <w:r w:rsidRPr="00A77641">
        <w:rPr>
          <w:rFonts w:cs="Arial"/>
          <w:color w:val="000000"/>
        </w:rPr>
        <w:t xml:space="preserve">a naturaleza de </w:t>
      </w:r>
      <w:r w:rsidR="009B42D9" w:rsidRPr="00A77641">
        <w:rPr>
          <w:rFonts w:cs="Arial"/>
          <w:color w:val="000000"/>
        </w:rPr>
        <w:t>las transacciones y saldos pendientes de liquidar</w:t>
      </w:r>
      <w:r w:rsidRPr="00A77641">
        <w:rPr>
          <w:rFonts w:cs="Arial"/>
          <w:color w:val="000000"/>
        </w:rPr>
        <w:t xml:space="preserve">, </w:t>
      </w:r>
      <w:r w:rsidR="00B6382D" w:rsidRPr="00A77641">
        <w:rPr>
          <w:rFonts w:cs="Arial"/>
          <w:color w:val="000000"/>
        </w:rPr>
        <w:t>son los</w:t>
      </w:r>
      <w:r w:rsidRPr="00A77641">
        <w:rPr>
          <w:rFonts w:cs="Arial"/>
          <w:color w:val="000000"/>
        </w:rPr>
        <w:t xml:space="preserve"> siguiente</w:t>
      </w:r>
      <w:r w:rsidR="00B6382D" w:rsidRPr="00A77641">
        <w:rPr>
          <w:rFonts w:cs="Arial"/>
          <w:color w:val="000000"/>
        </w:rPr>
        <w:t>s</w:t>
      </w:r>
      <w:r w:rsidRPr="00A77641">
        <w:rPr>
          <w:rFonts w:cs="Arial"/>
          <w:color w:val="000000"/>
        </w:rPr>
        <w:t>:</w:t>
      </w:r>
    </w:p>
    <w:p w14:paraId="0557A1CC" w14:textId="77777777" w:rsidR="00F1023F" w:rsidRPr="00A77641" w:rsidRDefault="00F1023F" w:rsidP="0046702E">
      <w:pPr>
        <w:widowControl w:val="0"/>
        <w:autoSpaceDE w:val="0"/>
        <w:autoSpaceDN w:val="0"/>
        <w:adjustRightInd w:val="0"/>
        <w:spacing w:before="240"/>
        <w:rPr>
          <w:rFonts w:cs="Arial"/>
          <w:color w:val="000000"/>
        </w:rPr>
      </w:pPr>
      <w:bookmarkStart w:id="94" w:name="_Hlk190691831"/>
    </w:p>
    <w:bookmarkStart w:id="95" w:name="_MON_1613546404"/>
    <w:bookmarkEnd w:id="95"/>
    <w:p w14:paraId="527E463E" w14:textId="5784F849" w:rsidR="00060C63" w:rsidRDefault="00FF3335" w:rsidP="00186A79">
      <w:pPr>
        <w:widowControl w:val="0"/>
        <w:autoSpaceDE w:val="0"/>
        <w:autoSpaceDN w:val="0"/>
        <w:adjustRightInd w:val="0"/>
        <w:spacing w:before="240"/>
        <w:jc w:val="center"/>
        <w:rPr>
          <w:rFonts w:cs="Arial"/>
          <w:color w:val="000000"/>
        </w:rPr>
      </w:pPr>
      <w:r w:rsidRPr="004D1238">
        <w:rPr>
          <w:rFonts w:cs="Arial"/>
          <w:color w:val="000000"/>
        </w:rPr>
        <w:object w:dxaOrig="9630" w:dyaOrig="2985" w14:anchorId="1A187B53">
          <v:shape id="_x0000_i1062" type="#_x0000_t75" style="width:414.25pt;height:139.3pt" o:ole="">
            <v:imagedata r:id="rId91" o:title=""/>
          </v:shape>
          <o:OLEObject Type="Embed" ProgID="Excel.Sheet.8" ShapeID="_x0000_i1062" DrawAspect="Content" ObjectID="_1805087294" r:id="rId92"/>
        </w:object>
      </w:r>
      <w:bookmarkEnd w:id="94"/>
    </w:p>
    <w:p w14:paraId="2ED49DBD" w14:textId="77777777" w:rsidR="00E03077" w:rsidRDefault="00E03077" w:rsidP="00186A79">
      <w:pPr>
        <w:widowControl w:val="0"/>
        <w:autoSpaceDE w:val="0"/>
        <w:autoSpaceDN w:val="0"/>
        <w:adjustRightInd w:val="0"/>
        <w:spacing w:before="240"/>
        <w:jc w:val="center"/>
        <w:rPr>
          <w:rFonts w:cs="Arial"/>
          <w:color w:val="000000"/>
        </w:rPr>
      </w:pPr>
    </w:p>
    <w:p w14:paraId="73BB522E" w14:textId="3992643E" w:rsidR="0046702E" w:rsidRPr="008B38E3" w:rsidRDefault="00FD308D" w:rsidP="001F7EB6">
      <w:pPr>
        <w:spacing w:before="240"/>
        <w:rPr>
          <w:rFonts w:cs="Arial"/>
          <w:b/>
        </w:rPr>
      </w:pPr>
      <w:bookmarkStart w:id="96" w:name="_MON_1390384625"/>
      <w:bookmarkStart w:id="97" w:name="_MON_1390384742"/>
      <w:bookmarkStart w:id="98" w:name="_MON_1391575830"/>
      <w:bookmarkStart w:id="99" w:name="_MON_1392633352"/>
      <w:bookmarkStart w:id="100" w:name="_MON_1390384313"/>
      <w:bookmarkStart w:id="101" w:name="_MON_1518428837"/>
      <w:bookmarkEnd w:id="96"/>
      <w:bookmarkEnd w:id="97"/>
      <w:bookmarkEnd w:id="98"/>
      <w:bookmarkEnd w:id="99"/>
      <w:bookmarkEnd w:id="100"/>
      <w:bookmarkEnd w:id="101"/>
      <w:r w:rsidRPr="00A77641">
        <w:rPr>
          <w:rFonts w:cs="Arial"/>
          <w:b/>
        </w:rPr>
        <w:t>17</w:t>
      </w:r>
      <w:r w:rsidR="001F7EB6" w:rsidRPr="00A77641">
        <w:rPr>
          <w:rFonts w:cs="Arial"/>
          <w:b/>
        </w:rPr>
        <w:t>.1</w:t>
      </w:r>
      <w:r w:rsidR="001F7EB6" w:rsidRPr="00A77641">
        <w:rPr>
          <w:rFonts w:cs="Arial"/>
          <w:b/>
        </w:rPr>
        <w:tab/>
      </w:r>
      <w:r w:rsidR="009149D6" w:rsidRPr="00A77641">
        <w:rPr>
          <w:rFonts w:cs="Arial"/>
          <w:b/>
        </w:rPr>
        <w:t>Administradores</w:t>
      </w:r>
    </w:p>
    <w:p w14:paraId="7F38DFB0" w14:textId="3615D22A" w:rsidR="00C231C4" w:rsidRDefault="008A36A5" w:rsidP="0046702E">
      <w:pPr>
        <w:spacing w:before="240"/>
        <w:rPr>
          <w:rFonts w:cs="Arial"/>
        </w:rPr>
      </w:pPr>
      <w:bookmarkStart w:id="102" w:name="_Hlk160087806"/>
      <w:r w:rsidRPr="00701941">
        <w:rPr>
          <w:rFonts w:cs="Arial"/>
        </w:rPr>
        <w:t>Los miembros del Consejo de Administración de la Sociedad no han percibido remuneración alguna durante el ejercicio 20</w:t>
      </w:r>
      <w:r w:rsidR="007D649C" w:rsidRPr="00701941">
        <w:rPr>
          <w:rFonts w:cs="Arial"/>
        </w:rPr>
        <w:t>2</w:t>
      </w:r>
      <w:r w:rsidR="00431E42">
        <w:rPr>
          <w:rFonts w:cs="Arial"/>
        </w:rPr>
        <w:t>4</w:t>
      </w:r>
      <w:r w:rsidR="005B3A59" w:rsidRPr="00701941">
        <w:rPr>
          <w:rFonts w:cs="Arial"/>
        </w:rPr>
        <w:t xml:space="preserve"> y 20</w:t>
      </w:r>
      <w:r w:rsidR="005C33E5">
        <w:rPr>
          <w:rFonts w:cs="Arial"/>
        </w:rPr>
        <w:t>2</w:t>
      </w:r>
      <w:r w:rsidR="00431E42">
        <w:rPr>
          <w:rFonts w:cs="Arial"/>
        </w:rPr>
        <w:t>3</w:t>
      </w:r>
      <w:r w:rsidRPr="00701941">
        <w:rPr>
          <w:rFonts w:cs="Arial"/>
        </w:rPr>
        <w:t>, a excepción de</w:t>
      </w:r>
      <w:r w:rsidR="00A03D09" w:rsidRPr="00701941">
        <w:rPr>
          <w:rFonts w:cs="Arial"/>
        </w:rPr>
        <w:t>l cargo de</w:t>
      </w:r>
      <w:r w:rsidR="00EE39AD">
        <w:rPr>
          <w:rFonts w:cs="Arial"/>
        </w:rPr>
        <w:t>l</w:t>
      </w:r>
      <w:r w:rsidRPr="00701941">
        <w:rPr>
          <w:rFonts w:cs="Arial"/>
        </w:rPr>
        <w:t xml:space="preserve"> </w:t>
      </w:r>
      <w:r w:rsidR="00164769">
        <w:rPr>
          <w:rFonts w:cs="Arial"/>
        </w:rPr>
        <w:t>c</w:t>
      </w:r>
      <w:r w:rsidRPr="00701941">
        <w:rPr>
          <w:rFonts w:cs="Arial"/>
        </w:rPr>
        <w:t xml:space="preserve">onsejero </w:t>
      </w:r>
      <w:r w:rsidR="00164769">
        <w:rPr>
          <w:rFonts w:cs="Arial"/>
        </w:rPr>
        <w:t>d</w:t>
      </w:r>
      <w:r w:rsidRPr="00701941">
        <w:rPr>
          <w:rFonts w:cs="Arial"/>
        </w:rPr>
        <w:t>el</w:t>
      </w:r>
      <w:r w:rsidR="008774CE" w:rsidRPr="00701941">
        <w:rPr>
          <w:rFonts w:cs="Arial"/>
        </w:rPr>
        <w:t>e</w:t>
      </w:r>
      <w:r w:rsidRPr="00701941">
        <w:rPr>
          <w:rFonts w:cs="Arial"/>
        </w:rPr>
        <w:t>gado de la Sociedad, cuya remuneración devengada ha sido</w:t>
      </w:r>
      <w:r w:rsidR="00C231C4">
        <w:rPr>
          <w:rFonts w:cs="Arial"/>
        </w:rPr>
        <w:t>:</w:t>
      </w:r>
    </w:p>
    <w:bookmarkStart w:id="103" w:name="_Hlk190689848"/>
    <w:bookmarkStart w:id="104" w:name="_MON_1801302581"/>
    <w:bookmarkEnd w:id="104"/>
    <w:p w14:paraId="5F5E6910" w14:textId="51400177" w:rsidR="00C231C4" w:rsidRDefault="009F38BE" w:rsidP="00C231C4">
      <w:pPr>
        <w:spacing w:before="240"/>
        <w:jc w:val="center"/>
        <w:rPr>
          <w:rFonts w:cs="Arial"/>
        </w:rPr>
      </w:pPr>
      <w:r>
        <w:rPr>
          <w:rFonts w:cs="Arial"/>
        </w:rPr>
        <w:object w:dxaOrig="9562" w:dyaOrig="1685" w14:anchorId="0CF4189C">
          <v:shape id="_x0000_i1063" type="#_x0000_t75" style="width:401.15pt;height:71.05pt" o:ole="">
            <v:imagedata r:id="rId93" o:title=""/>
          </v:shape>
          <o:OLEObject Type="Embed" ProgID="Excel.Sheet.12" ShapeID="_x0000_i1063" DrawAspect="Content" ObjectID="_1805087295" r:id="rId94"/>
        </w:object>
      </w:r>
      <w:bookmarkEnd w:id="103"/>
    </w:p>
    <w:p w14:paraId="3A6C74F3" w14:textId="3A0E80BB" w:rsidR="00BE6937" w:rsidRDefault="00F36F5C">
      <w:pPr>
        <w:spacing w:before="240"/>
        <w:rPr>
          <w:rFonts w:cs="Arial"/>
        </w:rPr>
      </w:pPr>
      <w:r w:rsidRPr="008C75F0">
        <w:rPr>
          <w:rFonts w:cs="Arial"/>
        </w:rPr>
        <w:t>Al</w:t>
      </w:r>
      <w:bookmarkEnd w:id="102"/>
      <w:r w:rsidRPr="008C75F0">
        <w:rPr>
          <w:rFonts w:cs="Arial"/>
        </w:rPr>
        <w:t xml:space="preserve"> 31 de diciembre de 20</w:t>
      </w:r>
      <w:r w:rsidR="007D649C" w:rsidRPr="008C75F0">
        <w:rPr>
          <w:rFonts w:cs="Arial"/>
        </w:rPr>
        <w:t>2</w:t>
      </w:r>
      <w:r w:rsidR="00431E42">
        <w:rPr>
          <w:rFonts w:cs="Arial"/>
        </w:rPr>
        <w:t>4</w:t>
      </w:r>
      <w:r w:rsidR="0046702E" w:rsidRPr="008C75F0">
        <w:rPr>
          <w:rFonts w:cs="Arial"/>
        </w:rPr>
        <w:t xml:space="preserve"> </w:t>
      </w:r>
      <w:r w:rsidR="000E6CCD" w:rsidRPr="008C75F0">
        <w:rPr>
          <w:rFonts w:cs="Arial"/>
        </w:rPr>
        <w:t>y 20</w:t>
      </w:r>
      <w:r w:rsidR="005C33E5" w:rsidRPr="008C75F0">
        <w:rPr>
          <w:rFonts w:cs="Arial"/>
        </w:rPr>
        <w:t>2</w:t>
      </w:r>
      <w:r w:rsidR="00431E42">
        <w:rPr>
          <w:rFonts w:cs="Arial"/>
        </w:rPr>
        <w:t>3</w:t>
      </w:r>
      <w:r w:rsidR="005C33E5" w:rsidRPr="008C75F0">
        <w:rPr>
          <w:rFonts w:cs="Arial"/>
        </w:rPr>
        <w:t xml:space="preserve"> </w:t>
      </w:r>
      <w:r w:rsidR="0046702E" w:rsidRPr="008C75F0">
        <w:rPr>
          <w:rFonts w:cs="Arial"/>
        </w:rPr>
        <w:t>la Sociedad no tiene obligaciones</w:t>
      </w:r>
      <w:r w:rsidR="0046702E" w:rsidRPr="008B38E3">
        <w:rPr>
          <w:rFonts w:cs="Arial"/>
        </w:rPr>
        <w:t xml:space="preserve"> contraídas en materia de pensiones y de seguros de vida respecto a los miembros anteriores o actuales del Consejo de Administración, ni tiene obligaciones asumidas por cuenta de ellos a título de garantía.</w:t>
      </w:r>
    </w:p>
    <w:p w14:paraId="6DCF5861" w14:textId="596F124C" w:rsidR="008E1A07" w:rsidRDefault="008E1A07">
      <w:pPr>
        <w:spacing w:before="240"/>
        <w:rPr>
          <w:rFonts w:cs="Arial"/>
        </w:rPr>
      </w:pPr>
      <w:r w:rsidRPr="00FB73DF">
        <w:rPr>
          <w:rFonts w:cs="Arial"/>
        </w:rPr>
        <w:t>Durante el ejercicio 20</w:t>
      </w:r>
      <w:r w:rsidR="007D649C">
        <w:rPr>
          <w:rFonts w:cs="Arial"/>
        </w:rPr>
        <w:t>2</w:t>
      </w:r>
      <w:r w:rsidR="00A644C4">
        <w:rPr>
          <w:rFonts w:cs="Arial"/>
        </w:rPr>
        <w:t>4</w:t>
      </w:r>
      <w:r w:rsidRPr="00FB73DF">
        <w:rPr>
          <w:rFonts w:cs="Arial"/>
        </w:rPr>
        <w:t xml:space="preserve"> se ha </w:t>
      </w:r>
      <w:r w:rsidR="00F57ED1">
        <w:rPr>
          <w:rFonts w:cs="Arial"/>
        </w:rPr>
        <w:t>suscrito</w:t>
      </w:r>
      <w:r w:rsidRPr="00FB73DF">
        <w:rPr>
          <w:rFonts w:cs="Arial"/>
        </w:rPr>
        <w:t xml:space="preserve"> </w:t>
      </w:r>
      <w:r w:rsidR="000A49BA">
        <w:rPr>
          <w:rFonts w:cs="Arial"/>
        </w:rPr>
        <w:t xml:space="preserve">un </w:t>
      </w:r>
      <w:r w:rsidRPr="00FB73DF">
        <w:rPr>
          <w:rFonts w:cs="Arial"/>
        </w:rPr>
        <w:t>seguro de responsabilidad civil de los administradores por daños ocasionados en el ejercicio del cargo</w:t>
      </w:r>
      <w:r w:rsidR="00F57ED1">
        <w:rPr>
          <w:rFonts w:cs="Arial"/>
        </w:rPr>
        <w:t xml:space="preserve">, ascendiendo la prima </w:t>
      </w:r>
      <w:r w:rsidR="00F57ED1" w:rsidRPr="00E025BC">
        <w:rPr>
          <w:rFonts w:cs="Arial"/>
        </w:rPr>
        <w:t xml:space="preserve">a </w:t>
      </w:r>
      <w:bookmarkStart w:id="105" w:name="_Hlk159501893"/>
      <w:bookmarkStart w:id="106" w:name="_Hlk127961369"/>
      <w:bookmarkStart w:id="107" w:name="_Hlk96000530"/>
      <w:r w:rsidR="002F5FBB" w:rsidRPr="00136565">
        <w:rPr>
          <w:rFonts w:cs="Arial"/>
        </w:rPr>
        <w:t>3.300</w:t>
      </w:r>
      <w:r w:rsidR="00AB28FA" w:rsidRPr="00136565">
        <w:rPr>
          <w:rFonts w:cs="Arial"/>
        </w:rPr>
        <w:t>,00</w:t>
      </w:r>
      <w:bookmarkEnd w:id="105"/>
      <w:r w:rsidR="009F53F2" w:rsidRPr="00136565">
        <w:rPr>
          <w:rFonts w:cs="Arial"/>
        </w:rPr>
        <w:t xml:space="preserve"> </w:t>
      </w:r>
      <w:bookmarkEnd w:id="106"/>
      <w:r w:rsidR="009F53F2" w:rsidRPr="00136565">
        <w:rPr>
          <w:rFonts w:cs="Arial"/>
        </w:rPr>
        <w:t>euros</w:t>
      </w:r>
      <w:r w:rsidR="004457FC" w:rsidRPr="002F5FBB">
        <w:rPr>
          <w:rFonts w:cs="Arial"/>
        </w:rPr>
        <w:t xml:space="preserve"> </w:t>
      </w:r>
      <w:bookmarkEnd w:id="107"/>
      <w:r w:rsidR="004457FC" w:rsidRPr="002F5FBB">
        <w:rPr>
          <w:rFonts w:cs="Arial"/>
        </w:rPr>
        <w:t>(</w:t>
      </w:r>
      <w:r w:rsidR="00A644C4">
        <w:rPr>
          <w:rFonts w:cs="Arial"/>
        </w:rPr>
        <w:t>3.300</w:t>
      </w:r>
      <w:r w:rsidR="00127349">
        <w:rPr>
          <w:rFonts w:cs="Arial"/>
        </w:rPr>
        <w:t>,00</w:t>
      </w:r>
      <w:r w:rsidR="006540F1" w:rsidRPr="006540F1">
        <w:rPr>
          <w:rFonts w:cs="Arial"/>
        </w:rPr>
        <w:t xml:space="preserve"> </w:t>
      </w:r>
      <w:r w:rsidR="005C33E5" w:rsidRPr="005C33E5">
        <w:rPr>
          <w:rFonts w:cs="Arial"/>
        </w:rPr>
        <w:t xml:space="preserve">euros </w:t>
      </w:r>
      <w:r w:rsidR="000A49BA">
        <w:rPr>
          <w:rFonts w:cs="Arial"/>
        </w:rPr>
        <w:t>en</w:t>
      </w:r>
      <w:r w:rsidR="004457FC">
        <w:rPr>
          <w:rFonts w:cs="Arial"/>
        </w:rPr>
        <w:t xml:space="preserve"> el ejercicio 20</w:t>
      </w:r>
      <w:r w:rsidR="005C33E5">
        <w:rPr>
          <w:rFonts w:cs="Arial"/>
        </w:rPr>
        <w:t>2</w:t>
      </w:r>
      <w:r w:rsidR="00A644C4">
        <w:rPr>
          <w:rFonts w:cs="Arial"/>
        </w:rPr>
        <w:t>3</w:t>
      </w:r>
      <w:r w:rsidR="004457FC">
        <w:rPr>
          <w:rFonts w:cs="Arial"/>
        </w:rPr>
        <w:t>)</w:t>
      </w:r>
      <w:r w:rsidRPr="00FB73DF">
        <w:rPr>
          <w:rFonts w:cs="Arial"/>
        </w:rPr>
        <w:t>.</w:t>
      </w:r>
      <w:r>
        <w:rPr>
          <w:rFonts w:cs="Arial"/>
        </w:rPr>
        <w:t xml:space="preserve"> </w:t>
      </w:r>
    </w:p>
    <w:p w14:paraId="1F83538B" w14:textId="27241679" w:rsidR="00870C26" w:rsidRDefault="000E6CCD" w:rsidP="007279CF">
      <w:pPr>
        <w:pStyle w:val="NormalWeb"/>
        <w:jc w:val="both"/>
        <w:rPr>
          <w:rFonts w:ascii="Arial" w:hAnsi="Arial" w:cs="Arial"/>
          <w:sz w:val="20"/>
          <w:szCs w:val="20"/>
        </w:rPr>
      </w:pPr>
      <w:r w:rsidRPr="009167FE">
        <w:rPr>
          <w:rFonts w:ascii="Arial" w:hAnsi="Arial" w:cs="Arial"/>
          <w:sz w:val="20"/>
          <w:szCs w:val="20"/>
        </w:rPr>
        <w:t>En relación con el artículo 229 de la Ley de Sociedades de Capital, l</w:t>
      </w:r>
      <w:r w:rsidR="00487A9C" w:rsidRPr="009167FE">
        <w:rPr>
          <w:rFonts w:ascii="Arial" w:hAnsi="Arial" w:cs="Arial"/>
          <w:sz w:val="20"/>
          <w:szCs w:val="20"/>
        </w:rPr>
        <w:t xml:space="preserve">os administradores han comunicado </w:t>
      </w:r>
      <w:r w:rsidR="007B13AB" w:rsidRPr="009167FE">
        <w:rPr>
          <w:rFonts w:ascii="Arial" w:hAnsi="Arial" w:cs="Arial"/>
          <w:sz w:val="20"/>
          <w:szCs w:val="20"/>
        </w:rPr>
        <w:t xml:space="preserve">que no tienen </w:t>
      </w:r>
      <w:r w:rsidR="00487A9C" w:rsidRPr="009167FE">
        <w:rPr>
          <w:rFonts w:ascii="Arial" w:hAnsi="Arial" w:cs="Arial"/>
          <w:sz w:val="20"/>
          <w:szCs w:val="20"/>
        </w:rPr>
        <w:t>situación de conflicto</w:t>
      </w:r>
      <w:r w:rsidRPr="009167FE">
        <w:rPr>
          <w:rFonts w:ascii="Arial" w:hAnsi="Arial" w:cs="Arial"/>
          <w:sz w:val="20"/>
          <w:szCs w:val="20"/>
        </w:rPr>
        <w:t xml:space="preserve"> </w:t>
      </w:r>
      <w:r w:rsidR="00487A9C" w:rsidRPr="009167FE">
        <w:rPr>
          <w:rFonts w:ascii="Arial" w:hAnsi="Arial" w:cs="Arial"/>
          <w:sz w:val="20"/>
          <w:szCs w:val="20"/>
        </w:rPr>
        <w:t xml:space="preserve">con el interés de la </w:t>
      </w:r>
      <w:r w:rsidRPr="009167FE">
        <w:rPr>
          <w:rFonts w:ascii="Arial" w:hAnsi="Arial" w:cs="Arial"/>
          <w:sz w:val="20"/>
          <w:szCs w:val="20"/>
        </w:rPr>
        <w:t>S</w:t>
      </w:r>
      <w:r w:rsidR="00487A9C" w:rsidRPr="009167FE">
        <w:rPr>
          <w:rFonts w:ascii="Arial" w:hAnsi="Arial" w:cs="Arial"/>
          <w:sz w:val="20"/>
          <w:szCs w:val="20"/>
        </w:rPr>
        <w:t>ociedad.</w:t>
      </w:r>
      <w:r w:rsidR="00487A9C" w:rsidRPr="00D60515">
        <w:rPr>
          <w:rFonts w:ascii="Arial" w:hAnsi="Arial" w:cs="Arial"/>
          <w:sz w:val="20"/>
          <w:szCs w:val="20"/>
        </w:rPr>
        <w:t xml:space="preserve"> </w:t>
      </w:r>
    </w:p>
    <w:p w14:paraId="53BB6CE6" w14:textId="77777777" w:rsidR="00890FCC" w:rsidRDefault="00890FCC" w:rsidP="007279CF">
      <w:pPr>
        <w:pStyle w:val="NormalWeb"/>
        <w:jc w:val="both"/>
        <w:rPr>
          <w:rFonts w:ascii="Arial" w:hAnsi="Arial" w:cs="Arial"/>
          <w:sz w:val="20"/>
          <w:szCs w:val="20"/>
        </w:rPr>
      </w:pPr>
    </w:p>
    <w:p w14:paraId="08B1E99C" w14:textId="77777777" w:rsidR="0046702E" w:rsidRPr="00957520" w:rsidRDefault="001F7EB6" w:rsidP="008E7D60">
      <w:pPr>
        <w:ind w:left="720" w:hanging="720"/>
        <w:jc w:val="left"/>
        <w:rPr>
          <w:b/>
        </w:rPr>
      </w:pPr>
      <w:r w:rsidRPr="00957520">
        <w:rPr>
          <w:b/>
        </w:rPr>
        <w:t>1</w:t>
      </w:r>
      <w:r w:rsidR="00FD308D" w:rsidRPr="00957520">
        <w:rPr>
          <w:b/>
        </w:rPr>
        <w:t>8</w:t>
      </w:r>
      <w:r w:rsidRPr="00957520">
        <w:rPr>
          <w:b/>
        </w:rPr>
        <w:t>.</w:t>
      </w:r>
      <w:r w:rsidRPr="00957520">
        <w:rPr>
          <w:b/>
        </w:rPr>
        <w:tab/>
      </w:r>
      <w:r w:rsidR="0046702E" w:rsidRPr="00957520">
        <w:rPr>
          <w:b/>
        </w:rPr>
        <w:t>INFORMACIÓN SOBRE LA NATURALEZA Y EL NIVEL DE RIESGO PROCEDENTE DE INSTRUMENTOS FINANCIEROS</w:t>
      </w:r>
    </w:p>
    <w:p w14:paraId="2C5BB5DA" w14:textId="10715B97" w:rsidR="0046702E" w:rsidRPr="008B38E3" w:rsidRDefault="0046702E" w:rsidP="0046702E">
      <w:pPr>
        <w:spacing w:before="240"/>
      </w:pPr>
      <w:r w:rsidRPr="00957520">
        <w:t>Las políticas de gestión de riesgos de la Sociedad</w:t>
      </w:r>
      <w:r w:rsidRPr="008B38E3">
        <w:t xml:space="preserve"> son establecidas por </w:t>
      </w:r>
      <w:r w:rsidR="00EE39AD">
        <w:t xml:space="preserve">el Consejo de Administración </w:t>
      </w:r>
      <w:r w:rsidRPr="008B38E3">
        <w:t>d</w:t>
      </w:r>
      <w:r w:rsidR="00E0138F" w:rsidRPr="008B38E3">
        <w:t>e la Sociedad.</w:t>
      </w:r>
    </w:p>
    <w:p w14:paraId="555C3E2A" w14:textId="77777777" w:rsidR="0046702E" w:rsidRDefault="0046702E" w:rsidP="0046702E">
      <w:pPr>
        <w:spacing w:before="240"/>
      </w:pPr>
      <w:r w:rsidRPr="008B38E3">
        <w:lastRenderedPageBreak/>
        <w:t>La actividad con instrumentos financieros expone a la Sociedad al riesgo de crédito, de mercado y de liquidez.</w:t>
      </w:r>
    </w:p>
    <w:p w14:paraId="4EC9C685" w14:textId="77777777" w:rsidR="0046702E" w:rsidRPr="008B38E3" w:rsidRDefault="001F7EB6" w:rsidP="001F7EB6">
      <w:pPr>
        <w:spacing w:before="240"/>
        <w:rPr>
          <w:b/>
        </w:rPr>
      </w:pPr>
      <w:r w:rsidRPr="008B38E3">
        <w:rPr>
          <w:b/>
        </w:rPr>
        <w:t>1</w:t>
      </w:r>
      <w:r w:rsidR="00FD308D" w:rsidRPr="008B38E3">
        <w:rPr>
          <w:b/>
        </w:rPr>
        <w:t>8</w:t>
      </w:r>
      <w:r w:rsidRPr="008B38E3">
        <w:rPr>
          <w:b/>
        </w:rPr>
        <w:t>.1</w:t>
      </w:r>
      <w:r w:rsidRPr="008B38E3">
        <w:rPr>
          <w:b/>
        </w:rPr>
        <w:tab/>
      </w:r>
      <w:r w:rsidR="0046702E" w:rsidRPr="008B38E3">
        <w:rPr>
          <w:b/>
        </w:rPr>
        <w:t>Riesgo de crédito</w:t>
      </w:r>
    </w:p>
    <w:p w14:paraId="2DD1C06C" w14:textId="77777777" w:rsidR="00F6387E" w:rsidRDefault="0046702E" w:rsidP="0046702E">
      <w:pPr>
        <w:spacing w:before="240"/>
      </w:pPr>
      <w:r w:rsidRPr="008B38E3">
        <w:t>El riesgo de crédito se produce por la posible pérdida causada por el incumplimiento de las obligaciones contractuales de las contrapartes de la Sociedad, es decir, por la posibilidad de no recuperar los activos financieros por el importe contabilizado y en el plazo establecido.</w:t>
      </w:r>
    </w:p>
    <w:p w14:paraId="62CFBC7C" w14:textId="2B12DFBE" w:rsidR="00F96DDA" w:rsidRDefault="00637777" w:rsidP="0046702E">
      <w:pPr>
        <w:spacing w:before="240"/>
      </w:pPr>
      <w:r w:rsidRPr="00AC4785">
        <w:t>L</w:t>
      </w:r>
      <w:r w:rsidR="0046702E" w:rsidRPr="00AC4785">
        <w:t>a exposición máxima al riesgo de crédito al 31 de diciembre es la siguiente:</w:t>
      </w:r>
    </w:p>
    <w:p w14:paraId="07FC21B2" w14:textId="77777777" w:rsidR="00E03077" w:rsidRDefault="00E03077" w:rsidP="0046702E">
      <w:pPr>
        <w:spacing w:before="240"/>
      </w:pPr>
    </w:p>
    <w:bookmarkStart w:id="108" w:name="_MON_1390385734"/>
    <w:bookmarkEnd w:id="108"/>
    <w:p w14:paraId="567EC54D" w14:textId="074A62B5" w:rsidR="00684D6A" w:rsidRPr="00AC4785" w:rsidRDefault="00D84AF2" w:rsidP="00EF07C9">
      <w:pPr>
        <w:spacing w:before="240"/>
        <w:jc w:val="center"/>
      </w:pPr>
      <w:r w:rsidRPr="00AC4785">
        <w:object w:dxaOrig="7872" w:dyaOrig="1819" w14:anchorId="383FF03A">
          <v:shape id="_x0000_i1064" type="#_x0000_t75" style="width:392.75pt;height:90.7pt" o:ole="">
            <v:imagedata r:id="rId95" o:title=""/>
          </v:shape>
          <o:OLEObject Type="Embed" ProgID="Excel.Sheet.8" ShapeID="_x0000_i1064" DrawAspect="Content" ObjectID="_1805087296" r:id="rId96"/>
        </w:object>
      </w:r>
    </w:p>
    <w:p w14:paraId="5863F629" w14:textId="4E33B282" w:rsidR="00FD308D" w:rsidRDefault="0046702E" w:rsidP="0046702E">
      <w:pPr>
        <w:spacing w:before="240"/>
      </w:pPr>
      <w:r w:rsidRPr="00AC4785">
        <w:t>Para gestionar el riesgo de crédito la Sociedad distingue entre</w:t>
      </w:r>
      <w:r w:rsidRPr="00BA7F3B">
        <w:t xml:space="preserve"> los activos financieros originados por las actividades operativas y por las actividades de inversión. </w:t>
      </w:r>
    </w:p>
    <w:p w14:paraId="0DE75EE9" w14:textId="77777777" w:rsidR="0046702E" w:rsidRPr="00835446" w:rsidRDefault="000E472F" w:rsidP="0046702E">
      <w:pPr>
        <w:spacing w:before="240"/>
        <w:rPr>
          <w:i/>
          <w:u w:val="single"/>
        </w:rPr>
      </w:pPr>
      <w:r w:rsidRPr="00835446">
        <w:rPr>
          <w:i/>
          <w:u w:val="single"/>
        </w:rPr>
        <w:t>A</w:t>
      </w:r>
      <w:r w:rsidR="0046702E" w:rsidRPr="00835446">
        <w:rPr>
          <w:i/>
          <w:u w:val="single"/>
        </w:rPr>
        <w:t>ctividades operativas</w:t>
      </w:r>
    </w:p>
    <w:p w14:paraId="0030C639" w14:textId="77777777" w:rsidR="00B8751B" w:rsidRPr="002F3C13" w:rsidRDefault="00B8751B" w:rsidP="00B8751B">
      <w:pPr>
        <w:rPr>
          <w:rFonts w:cs="Arial"/>
          <w:sz w:val="22"/>
          <w:szCs w:val="22"/>
          <w:highlight w:val="yellow"/>
        </w:rPr>
      </w:pPr>
    </w:p>
    <w:p w14:paraId="1267C59C" w14:textId="28DC5DF2"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Para minimizar el riesgo de crédito en el proceso comercial de GMR Canarias, ofreciendo a los</w:t>
      </w:r>
      <w:r>
        <w:rPr>
          <w:rFonts w:cs="Arial"/>
          <w:szCs w:val="20"/>
          <w:lang w:val="es-ES" w:eastAsia="es-ES"/>
        </w:rPr>
        <w:t xml:space="preserve"> </w:t>
      </w:r>
      <w:r w:rsidRPr="00244012">
        <w:rPr>
          <w:rFonts w:cs="Arial"/>
          <w:szCs w:val="20"/>
          <w:lang w:val="es-ES" w:eastAsia="es-ES"/>
        </w:rPr>
        <w:t>clientes la posibilidad de pagar a crédito las compras que realizan, se hace necesario establecer una</w:t>
      </w:r>
      <w:r>
        <w:rPr>
          <w:rFonts w:cs="Arial"/>
          <w:szCs w:val="20"/>
          <w:lang w:val="es-ES" w:eastAsia="es-ES"/>
        </w:rPr>
        <w:t xml:space="preserve"> </w:t>
      </w:r>
      <w:r w:rsidRPr="00244012">
        <w:rPr>
          <w:rFonts w:cs="Arial"/>
          <w:szCs w:val="20"/>
          <w:lang w:val="es-ES" w:eastAsia="es-ES"/>
        </w:rPr>
        <w:t>política de otorgamiento de crédito a clientes.</w:t>
      </w:r>
      <w:r w:rsidR="00EA4671">
        <w:rPr>
          <w:rFonts w:cs="Arial"/>
          <w:szCs w:val="20"/>
          <w:lang w:val="es-ES" w:eastAsia="es-ES"/>
        </w:rPr>
        <w:t xml:space="preserve"> </w:t>
      </w:r>
      <w:r w:rsidRPr="00244012">
        <w:rPr>
          <w:rFonts w:cs="Arial"/>
          <w:szCs w:val="20"/>
          <w:lang w:val="es-ES" w:eastAsia="es-ES"/>
        </w:rPr>
        <w:t xml:space="preserve">La política de otorgamiento de crédito a clientes </w:t>
      </w:r>
      <w:r w:rsidR="00D70D4E">
        <w:rPr>
          <w:rFonts w:cs="Arial"/>
          <w:szCs w:val="20"/>
          <w:lang w:val="es-ES" w:eastAsia="es-ES"/>
        </w:rPr>
        <w:t>es</w:t>
      </w:r>
      <w:r w:rsidRPr="00244012">
        <w:rPr>
          <w:rFonts w:cs="Arial"/>
          <w:szCs w:val="20"/>
          <w:lang w:val="es-ES" w:eastAsia="es-ES"/>
        </w:rPr>
        <w:t xml:space="preserve"> aprobada por el Consejo de</w:t>
      </w:r>
      <w:r>
        <w:rPr>
          <w:rFonts w:cs="Arial"/>
          <w:szCs w:val="20"/>
          <w:lang w:val="es-ES" w:eastAsia="es-ES"/>
        </w:rPr>
        <w:t xml:space="preserve"> </w:t>
      </w:r>
      <w:r w:rsidRPr="00244012">
        <w:rPr>
          <w:rFonts w:cs="Arial"/>
          <w:szCs w:val="20"/>
          <w:lang w:val="es-ES" w:eastAsia="es-ES"/>
        </w:rPr>
        <w:t>Administración:</w:t>
      </w:r>
    </w:p>
    <w:p w14:paraId="290CD333" w14:textId="77777777" w:rsidR="00EA4671" w:rsidRDefault="00EA4671" w:rsidP="00244012">
      <w:pPr>
        <w:autoSpaceDE w:val="0"/>
        <w:autoSpaceDN w:val="0"/>
        <w:adjustRightInd w:val="0"/>
        <w:rPr>
          <w:rFonts w:cs="Arial"/>
          <w:szCs w:val="20"/>
          <w:lang w:val="es-ES" w:eastAsia="es-ES"/>
        </w:rPr>
      </w:pPr>
    </w:p>
    <w:p w14:paraId="5159C277" w14:textId="09CC4539"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El Departamento de Cobros, previa solicitud del Departamento Comercial, solicitará a la</w:t>
      </w:r>
      <w:r>
        <w:rPr>
          <w:rFonts w:cs="Arial"/>
          <w:szCs w:val="20"/>
          <w:lang w:val="es-ES" w:eastAsia="es-ES"/>
        </w:rPr>
        <w:t xml:space="preserve"> </w:t>
      </w:r>
      <w:r w:rsidRPr="00244012">
        <w:rPr>
          <w:rFonts w:cs="Arial"/>
          <w:szCs w:val="20"/>
          <w:lang w:val="es-ES" w:eastAsia="es-ES"/>
        </w:rPr>
        <w:t>aseguradora crédito por el importe solicitado por este departamento, una vez la aseguradora</w:t>
      </w:r>
      <w:r>
        <w:rPr>
          <w:rFonts w:cs="Arial"/>
          <w:szCs w:val="20"/>
          <w:lang w:val="es-ES" w:eastAsia="es-ES"/>
        </w:rPr>
        <w:t xml:space="preserve"> </w:t>
      </w:r>
      <w:r w:rsidRPr="00244012">
        <w:rPr>
          <w:rFonts w:cs="Arial"/>
          <w:szCs w:val="20"/>
          <w:lang w:val="es-ES" w:eastAsia="es-ES"/>
        </w:rPr>
        <w:t>apruebe el crédito por el importe que estime, se comunicará al Departamento Comercial que</w:t>
      </w:r>
      <w:r>
        <w:rPr>
          <w:rFonts w:cs="Arial"/>
          <w:szCs w:val="20"/>
          <w:lang w:val="es-ES" w:eastAsia="es-ES"/>
        </w:rPr>
        <w:t xml:space="preserve"> </w:t>
      </w:r>
      <w:r w:rsidRPr="00244012">
        <w:rPr>
          <w:rFonts w:cs="Arial"/>
          <w:szCs w:val="20"/>
          <w:lang w:val="es-ES" w:eastAsia="es-ES"/>
        </w:rPr>
        <w:t>está autorizado el otorgamiento del crédito, siendo el responsable de gestión de cobros el</w:t>
      </w:r>
      <w:r>
        <w:rPr>
          <w:rFonts w:cs="Arial"/>
          <w:szCs w:val="20"/>
          <w:lang w:val="es-ES" w:eastAsia="es-ES"/>
        </w:rPr>
        <w:t xml:space="preserve"> </w:t>
      </w:r>
      <w:r w:rsidRPr="00244012">
        <w:rPr>
          <w:rFonts w:cs="Arial"/>
          <w:szCs w:val="20"/>
          <w:lang w:val="es-ES" w:eastAsia="es-ES"/>
        </w:rPr>
        <w:t>que procederá a rellenar esta información en la ficha del cliente.</w:t>
      </w:r>
    </w:p>
    <w:p w14:paraId="7C88588C" w14:textId="77777777" w:rsidR="00244012" w:rsidRPr="00244012" w:rsidRDefault="00244012" w:rsidP="00244012">
      <w:pPr>
        <w:autoSpaceDE w:val="0"/>
        <w:autoSpaceDN w:val="0"/>
        <w:adjustRightInd w:val="0"/>
        <w:rPr>
          <w:rFonts w:cs="Arial"/>
          <w:szCs w:val="20"/>
          <w:lang w:val="es-ES" w:eastAsia="es-ES"/>
        </w:rPr>
      </w:pPr>
    </w:p>
    <w:p w14:paraId="5AB4B1D6" w14:textId="2F1BDF8F"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Todas las ventas realizadas a las grandes superficies, cadenas de supermercados,</w:t>
      </w:r>
      <w:r>
        <w:rPr>
          <w:rFonts w:cs="Arial"/>
          <w:szCs w:val="20"/>
          <w:lang w:val="es-ES" w:eastAsia="es-ES"/>
        </w:rPr>
        <w:t xml:space="preserve"> </w:t>
      </w:r>
      <w:r w:rsidRPr="00244012">
        <w:rPr>
          <w:rFonts w:cs="Arial"/>
          <w:szCs w:val="20"/>
          <w:lang w:val="es-ES" w:eastAsia="es-ES"/>
        </w:rPr>
        <w:t>Administraciones Públicas y empresas públicas, excluidas de la póliza de seguros por parte</w:t>
      </w:r>
      <w:r>
        <w:rPr>
          <w:rFonts w:cs="Arial"/>
          <w:szCs w:val="20"/>
          <w:lang w:val="es-ES" w:eastAsia="es-ES"/>
        </w:rPr>
        <w:t xml:space="preserve"> </w:t>
      </w:r>
      <w:r w:rsidRPr="00244012">
        <w:rPr>
          <w:rFonts w:cs="Arial"/>
          <w:szCs w:val="20"/>
          <w:lang w:val="es-ES" w:eastAsia="es-ES"/>
        </w:rPr>
        <w:t>de GMR Canarias, serán aprobadas por acuerdo expreso por parte del Consejo de</w:t>
      </w:r>
      <w:r>
        <w:rPr>
          <w:rFonts w:cs="Arial"/>
          <w:szCs w:val="20"/>
          <w:lang w:val="es-ES" w:eastAsia="es-ES"/>
        </w:rPr>
        <w:t xml:space="preserve"> </w:t>
      </w:r>
      <w:r w:rsidRPr="00244012">
        <w:rPr>
          <w:rFonts w:cs="Arial"/>
          <w:szCs w:val="20"/>
          <w:lang w:val="es-ES" w:eastAsia="es-ES"/>
        </w:rPr>
        <w:t>Administración.</w:t>
      </w:r>
    </w:p>
    <w:p w14:paraId="5B5C2DDD" w14:textId="77777777" w:rsidR="00244012" w:rsidRPr="00244012" w:rsidRDefault="00244012" w:rsidP="00244012">
      <w:pPr>
        <w:autoSpaceDE w:val="0"/>
        <w:autoSpaceDN w:val="0"/>
        <w:adjustRightInd w:val="0"/>
        <w:rPr>
          <w:rFonts w:cs="Arial"/>
          <w:szCs w:val="20"/>
          <w:lang w:val="es-ES" w:eastAsia="es-ES"/>
        </w:rPr>
      </w:pPr>
    </w:p>
    <w:p w14:paraId="219BB13E" w14:textId="0370E728"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no asegurados</w:t>
      </w:r>
      <w:r w:rsidRPr="00D70D4E">
        <w:rPr>
          <w:rFonts w:cs="Arial"/>
          <w:szCs w:val="20"/>
          <w:lang w:val="es-ES" w:eastAsia="es-ES"/>
        </w:rPr>
        <w:t>: Se dará un crédito hasta 1.000 euros por 60 días y no se le podrá vender si el saldo pendiente de abonar es mayor de cero, es decir, antes de hacer un nuevo pedido tiene que haber pagado la factura anterior, en caso de incumplimiento de la fecha de vencimiento se le requerirá y aunque pague, no se admitirá venta a crédito en ningún otro caso.</w:t>
      </w:r>
    </w:p>
    <w:p w14:paraId="44BE0268" w14:textId="77777777" w:rsidR="00244012" w:rsidRPr="00D70D4E" w:rsidRDefault="00244012" w:rsidP="00244012">
      <w:pPr>
        <w:autoSpaceDE w:val="0"/>
        <w:autoSpaceDN w:val="0"/>
        <w:adjustRightInd w:val="0"/>
        <w:rPr>
          <w:rFonts w:cs="Arial"/>
          <w:szCs w:val="20"/>
          <w:lang w:val="es-ES" w:eastAsia="es-ES"/>
        </w:rPr>
      </w:pPr>
    </w:p>
    <w:p w14:paraId="1A70378F" w14:textId="6F56FAAE"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asegurados</w:t>
      </w:r>
      <w:r w:rsidRPr="00D70D4E">
        <w:rPr>
          <w:rFonts w:cs="Arial"/>
          <w:szCs w:val="20"/>
          <w:lang w:val="es-ES" w:eastAsia="es-ES"/>
        </w:rPr>
        <w:t>:</w:t>
      </w:r>
    </w:p>
    <w:p w14:paraId="2D3BBAF5" w14:textId="77777777" w:rsidR="00244012" w:rsidRPr="00D70D4E" w:rsidRDefault="00244012" w:rsidP="00244012">
      <w:pPr>
        <w:autoSpaceDE w:val="0"/>
        <w:autoSpaceDN w:val="0"/>
        <w:adjustRightInd w:val="0"/>
        <w:rPr>
          <w:rFonts w:cs="Arial"/>
          <w:szCs w:val="20"/>
          <w:lang w:val="es-ES" w:eastAsia="es-ES"/>
        </w:rPr>
      </w:pPr>
    </w:p>
    <w:p w14:paraId="1A330A78" w14:textId="1217FCDA"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a un cliente que esté asegurado se le solicite un aumento de</w:t>
      </w:r>
    </w:p>
    <w:p w14:paraId="33254AC7" w14:textId="77777777"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crédito y no se lo concedan, se queda con el crédito concedido, y se vende hasta el</w:t>
      </w:r>
    </w:p>
    <w:p w14:paraId="38B27C13" w14:textId="449D4CDD"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límite asegurado.</w:t>
      </w:r>
    </w:p>
    <w:p w14:paraId="619A909A" w14:textId="77777777" w:rsidR="00244012" w:rsidRPr="00D70D4E" w:rsidRDefault="00244012" w:rsidP="00244012">
      <w:pPr>
        <w:autoSpaceDE w:val="0"/>
        <w:autoSpaceDN w:val="0"/>
        <w:adjustRightInd w:val="0"/>
        <w:ind w:left="720" w:firstLine="720"/>
        <w:rPr>
          <w:rFonts w:cs="Arial"/>
          <w:szCs w:val="20"/>
          <w:lang w:val="es-ES" w:eastAsia="es-ES"/>
        </w:rPr>
      </w:pPr>
    </w:p>
    <w:p w14:paraId="13E31167" w14:textId="0378AA30"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un cliente que esté asegurado y la aseguradora le anule el crédito, no se le venderá a crédito, primero deberá abonar lo que esté pendiente, en su caso, y luego se podrán reanudar las ventas de contado.</w:t>
      </w:r>
    </w:p>
    <w:p w14:paraId="47259F45" w14:textId="77777777" w:rsidR="00244012" w:rsidRPr="00D70D4E" w:rsidRDefault="00244012" w:rsidP="00244012">
      <w:pPr>
        <w:pStyle w:val="Prrafodelista"/>
        <w:autoSpaceDE w:val="0"/>
        <w:autoSpaceDN w:val="0"/>
        <w:adjustRightInd w:val="0"/>
        <w:ind w:left="1440"/>
        <w:rPr>
          <w:rFonts w:ascii="Arial" w:hAnsi="Arial" w:cs="Arial"/>
          <w:sz w:val="20"/>
          <w:szCs w:val="20"/>
        </w:rPr>
      </w:pPr>
    </w:p>
    <w:p w14:paraId="229FF1FD" w14:textId="6C0E4FE9"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lastRenderedPageBreak/>
        <w:t>En el caso de que a un cliente que está asegurado le bajen el crédito se ajustará las</w:t>
      </w:r>
      <w:r w:rsidR="000D3DBB">
        <w:rPr>
          <w:rFonts w:ascii="Arial" w:hAnsi="Arial" w:cs="Arial"/>
          <w:sz w:val="20"/>
          <w:szCs w:val="20"/>
        </w:rPr>
        <w:t xml:space="preserve"> </w:t>
      </w:r>
      <w:r w:rsidRPr="00D70D4E">
        <w:rPr>
          <w:rFonts w:ascii="Arial" w:hAnsi="Arial" w:cs="Arial"/>
          <w:sz w:val="20"/>
          <w:szCs w:val="20"/>
        </w:rPr>
        <w:t>ventas a ese nuevo límite.</w:t>
      </w:r>
    </w:p>
    <w:p w14:paraId="6D133878" w14:textId="77777777" w:rsidR="00244012" w:rsidRPr="00D70D4E" w:rsidRDefault="00244012" w:rsidP="00244012">
      <w:pPr>
        <w:pStyle w:val="Prrafodelista"/>
        <w:rPr>
          <w:rFonts w:ascii="Arial" w:hAnsi="Arial" w:cs="Arial"/>
          <w:sz w:val="20"/>
          <w:szCs w:val="20"/>
        </w:rPr>
      </w:pPr>
    </w:p>
    <w:p w14:paraId="4F389530" w14:textId="39881AAB" w:rsidR="00244012" w:rsidRPr="000B4AB2" w:rsidRDefault="00244012" w:rsidP="000D3DBB">
      <w:pPr>
        <w:autoSpaceDE w:val="0"/>
        <w:autoSpaceDN w:val="0"/>
        <w:adjustRightInd w:val="0"/>
        <w:rPr>
          <w:rFonts w:cs="Arial"/>
          <w:szCs w:val="20"/>
          <w:lang w:val="es-ES" w:eastAsia="es-ES"/>
        </w:rPr>
      </w:pPr>
      <w:r w:rsidRPr="00D70D4E">
        <w:rPr>
          <w:rFonts w:cs="Arial"/>
          <w:szCs w:val="20"/>
        </w:rPr>
        <w:t xml:space="preserve">- El </w:t>
      </w:r>
      <w:r w:rsidR="00471FA3">
        <w:rPr>
          <w:rFonts w:cs="Arial"/>
          <w:szCs w:val="20"/>
        </w:rPr>
        <w:t>c</w:t>
      </w:r>
      <w:r w:rsidRPr="00D70D4E">
        <w:rPr>
          <w:rFonts w:cs="Arial"/>
          <w:szCs w:val="20"/>
        </w:rPr>
        <w:t xml:space="preserve">onsejero </w:t>
      </w:r>
      <w:r w:rsidR="00471FA3">
        <w:rPr>
          <w:rFonts w:cs="Arial"/>
          <w:szCs w:val="20"/>
        </w:rPr>
        <w:t>d</w:t>
      </w:r>
      <w:r w:rsidRPr="00D70D4E">
        <w:rPr>
          <w:rFonts w:cs="Arial"/>
          <w:szCs w:val="20"/>
        </w:rPr>
        <w:t>elegado podrá conceder créditos excepcionales dando cuenta de los mismos</w:t>
      </w:r>
      <w:r w:rsidR="000D3DBB">
        <w:rPr>
          <w:rFonts w:cs="Arial"/>
          <w:szCs w:val="20"/>
        </w:rPr>
        <w:t xml:space="preserve"> </w:t>
      </w:r>
      <w:r w:rsidRPr="00D70D4E">
        <w:rPr>
          <w:rFonts w:cs="Arial"/>
          <w:szCs w:val="20"/>
          <w:lang w:val="es-ES" w:eastAsia="es-ES"/>
        </w:rPr>
        <w:t xml:space="preserve">para su </w:t>
      </w:r>
      <w:r w:rsidRPr="000B4AB2">
        <w:rPr>
          <w:rFonts w:cs="Arial"/>
          <w:szCs w:val="20"/>
          <w:lang w:val="es-ES" w:eastAsia="es-ES"/>
        </w:rPr>
        <w:t>ratificación en el siguiente Consejo de Administración.</w:t>
      </w:r>
    </w:p>
    <w:p w14:paraId="4083D1BE" w14:textId="0BFC90C8" w:rsidR="00EB6220" w:rsidRDefault="007279CF" w:rsidP="0046702E">
      <w:pPr>
        <w:spacing w:before="240"/>
      </w:pPr>
      <w:r w:rsidRPr="00EA61D0">
        <w:t>El detalle por fecha de antigüedad de los “Deudores comerciales y otras cuentas a cobrar” al 31 de diciembre es el siguiente:</w:t>
      </w:r>
    </w:p>
    <w:bookmarkStart w:id="109" w:name="_MON_1390388852"/>
    <w:bookmarkStart w:id="110" w:name="_Hlk190691854"/>
    <w:bookmarkEnd w:id="109"/>
    <w:bookmarkStart w:id="111" w:name="_MON_1390388728"/>
    <w:bookmarkEnd w:id="111"/>
    <w:p w14:paraId="02821A76" w14:textId="5A607B7E" w:rsidR="00530A99" w:rsidRDefault="00114F76" w:rsidP="00530A99">
      <w:pPr>
        <w:spacing w:before="240"/>
        <w:jc w:val="center"/>
      </w:pPr>
      <w:r w:rsidRPr="00114F76">
        <w:object w:dxaOrig="5872" w:dyaOrig="3417" w14:anchorId="10362D19">
          <v:shape id="_x0000_i1065" type="#_x0000_t75" style="width:290.8pt;height:166.45pt" o:ole="">
            <v:imagedata r:id="rId97" o:title=""/>
          </v:shape>
          <o:OLEObject Type="Embed" ProgID="Excel.Sheet.8" ShapeID="_x0000_i1065" DrawAspect="Content" ObjectID="_1805087297" r:id="rId98"/>
        </w:object>
      </w:r>
      <w:bookmarkEnd w:id="110"/>
    </w:p>
    <w:p w14:paraId="57244B90" w14:textId="77777777" w:rsidR="00E03077" w:rsidRDefault="00E03077" w:rsidP="00530A99">
      <w:pPr>
        <w:spacing w:before="240"/>
        <w:jc w:val="center"/>
      </w:pPr>
    </w:p>
    <w:p w14:paraId="543DDCBC" w14:textId="0DE6AFA2" w:rsidR="0046702E" w:rsidRPr="000B4AB2" w:rsidRDefault="0046702E" w:rsidP="0046702E">
      <w:pPr>
        <w:spacing w:before="240"/>
        <w:rPr>
          <w:i/>
          <w:u w:val="single"/>
        </w:rPr>
      </w:pPr>
      <w:r w:rsidRPr="000B4AB2">
        <w:rPr>
          <w:i/>
          <w:u w:val="single"/>
        </w:rPr>
        <w:t>Actividades de inversión</w:t>
      </w:r>
    </w:p>
    <w:p w14:paraId="2BB902E8" w14:textId="26C3B484" w:rsidR="008B71A9" w:rsidRDefault="00DF5CBC" w:rsidP="00FC0A09">
      <w:pPr>
        <w:spacing w:before="240"/>
      </w:pPr>
      <w:r w:rsidRPr="000B4AB2">
        <w:t>Las políticas de inversión financiera de l</w:t>
      </w:r>
      <w:r w:rsidR="00B226DE" w:rsidRPr="000B4AB2">
        <w:t>a Sociedad establecen</w:t>
      </w:r>
      <w:r w:rsidR="00B226DE" w:rsidRPr="00DE2684">
        <w:t xml:space="preserve"> que las p</w:t>
      </w:r>
      <w:r w:rsidRPr="00DE2684">
        <w:t>u</w:t>
      </w:r>
      <w:r w:rsidR="00B226DE" w:rsidRPr="00DE2684">
        <w:t>n</w:t>
      </w:r>
      <w:r w:rsidRPr="00DE2684">
        <w:t xml:space="preserve">tas de tesorería deberán invertirse en </w:t>
      </w:r>
      <w:r w:rsidR="00A42FFD">
        <w:t>i</w:t>
      </w:r>
      <w:r w:rsidRPr="00DE2684">
        <w:t xml:space="preserve">mposiciones a plazo fijo </w:t>
      </w:r>
      <w:r w:rsidR="00D07F41">
        <w:t xml:space="preserve">o </w:t>
      </w:r>
      <w:r w:rsidR="00E26E11">
        <w:t xml:space="preserve">en </w:t>
      </w:r>
      <w:r w:rsidR="00D07F41">
        <w:t xml:space="preserve">cuentas corrientes remuneradas </w:t>
      </w:r>
      <w:r w:rsidRPr="00DE2684">
        <w:t xml:space="preserve">dependiendo de la situación de los mercados financieros, debiendo ser aprobados por el </w:t>
      </w:r>
      <w:r w:rsidR="00471FA3">
        <w:t>c</w:t>
      </w:r>
      <w:r w:rsidRPr="00DE2684">
        <w:t xml:space="preserve">onsejero/a </w:t>
      </w:r>
      <w:r w:rsidR="00471FA3">
        <w:t>d</w:t>
      </w:r>
      <w:r w:rsidRPr="00DE2684">
        <w:t>elegado/a.</w:t>
      </w:r>
    </w:p>
    <w:p w14:paraId="62A4B053" w14:textId="767DC7CC" w:rsidR="0046702E" w:rsidRPr="00DE2684" w:rsidRDefault="00FD308D" w:rsidP="008E7D60">
      <w:pPr>
        <w:spacing w:before="240"/>
        <w:rPr>
          <w:b/>
        </w:rPr>
      </w:pPr>
      <w:r w:rsidRPr="00DE2684">
        <w:rPr>
          <w:b/>
        </w:rPr>
        <w:t>18</w:t>
      </w:r>
      <w:r w:rsidR="008E7D60" w:rsidRPr="00DE2684">
        <w:rPr>
          <w:b/>
        </w:rPr>
        <w:t>.2</w:t>
      </w:r>
      <w:r w:rsidR="008E7D60" w:rsidRPr="00DE2684">
        <w:rPr>
          <w:b/>
        </w:rPr>
        <w:tab/>
      </w:r>
      <w:r w:rsidR="0046702E" w:rsidRPr="00DE2684">
        <w:rPr>
          <w:b/>
        </w:rPr>
        <w:t>Riesgo de mercado</w:t>
      </w:r>
    </w:p>
    <w:p w14:paraId="630D484D" w14:textId="77777777" w:rsidR="0046702E" w:rsidRDefault="0046702E" w:rsidP="0046702E">
      <w:pPr>
        <w:spacing w:before="240"/>
      </w:pPr>
      <w:r w:rsidRPr="00DE2684">
        <w:t>El riesgo de mercado se produce por la posible pérdida causada por variaciones en el valor razonable o en los futuros flujos de efectivo de un instrumento financiero debidas a cambios en los precios de mercado. El riesgo de mercado incluye el riesgo de tipo de interés, de tipo de cambio y otros riesgos de precio.</w:t>
      </w:r>
    </w:p>
    <w:p w14:paraId="0F9B9E3F" w14:textId="77777777" w:rsidR="00F96DDA" w:rsidRDefault="0046702E" w:rsidP="0046702E">
      <w:pPr>
        <w:spacing w:before="240"/>
        <w:rPr>
          <w:i/>
          <w:u w:val="single"/>
        </w:rPr>
      </w:pPr>
      <w:r w:rsidRPr="00DE2684">
        <w:rPr>
          <w:i/>
          <w:u w:val="single"/>
        </w:rPr>
        <w:t>Riesgo de tipo de interés</w:t>
      </w:r>
    </w:p>
    <w:p w14:paraId="60129C6B" w14:textId="77777777" w:rsidR="005D1D05" w:rsidRDefault="0046702E" w:rsidP="0046702E">
      <w:pPr>
        <w:spacing w:before="240"/>
      </w:pPr>
      <w:r w:rsidRPr="00DE2684">
        <w:t xml:space="preserve">El riesgo de tipo de interés se produce por la posible pérdida causada por variaciones en el valor razonable o en los futuros flujos de efectivo de un instrumento financiero debidas a cambios en los tipos de interés de mercado. </w:t>
      </w:r>
      <w:r w:rsidR="005D1D05">
        <w:t>No existe un</w:t>
      </w:r>
      <w:r w:rsidRPr="00DE2684">
        <w:t>a exposición de la Sociedad al riesgo de cambios en los tipos de int</w:t>
      </w:r>
      <w:r w:rsidR="008A0897" w:rsidRPr="00DE2684">
        <w:t>erés</w:t>
      </w:r>
      <w:r w:rsidR="005D1D05">
        <w:t>.</w:t>
      </w:r>
    </w:p>
    <w:p w14:paraId="4507A44A" w14:textId="77777777" w:rsidR="0046702E" w:rsidRPr="00DE2684" w:rsidRDefault="0046702E" w:rsidP="0046702E">
      <w:pPr>
        <w:spacing w:before="240"/>
        <w:rPr>
          <w:i/>
          <w:u w:val="single"/>
        </w:rPr>
      </w:pPr>
      <w:r w:rsidRPr="00DE2684">
        <w:rPr>
          <w:i/>
          <w:u w:val="single"/>
        </w:rPr>
        <w:t>Otros riesgos de precio</w:t>
      </w:r>
    </w:p>
    <w:p w14:paraId="5136888B" w14:textId="77777777" w:rsidR="0046702E" w:rsidRPr="00DE2684" w:rsidRDefault="0046702E" w:rsidP="0046702E">
      <w:pPr>
        <w:spacing w:before="240"/>
      </w:pPr>
      <w:r w:rsidRPr="00DE2684">
        <w:t>Las acciones cotizadas y no cotizadas y los fondos de inversión están sujetos a variaciones en su valor razonable causadas por el precio de mercado de estas inversiones. La Sociedad gestiona este riesgo mediante la diversificación de las inversiones y la existencia de límites individuales y g</w:t>
      </w:r>
      <w:r w:rsidR="00E66615" w:rsidRPr="00DE2684">
        <w:t>lobales para la contratación de</w:t>
      </w:r>
      <w:r w:rsidRPr="00DE2684">
        <w:t xml:space="preserve"> dichos instrumentos. </w:t>
      </w:r>
    </w:p>
    <w:p w14:paraId="34211849" w14:textId="099B9750" w:rsidR="0046702E" w:rsidRPr="00DE2684" w:rsidRDefault="0046702E" w:rsidP="0046702E">
      <w:pPr>
        <w:spacing w:before="240"/>
      </w:pPr>
      <w:r w:rsidRPr="00DE2684">
        <w:t>La adquisición de acciones de empresas no co</w:t>
      </w:r>
      <w:r w:rsidR="003A624B" w:rsidRPr="00DE2684">
        <w:t>tizadas debe ser aprobada por el</w:t>
      </w:r>
      <w:r w:rsidRPr="00DE2684">
        <w:t xml:space="preserve"> </w:t>
      </w:r>
      <w:r w:rsidR="00870C26">
        <w:t>c</w:t>
      </w:r>
      <w:r w:rsidR="00DF5CBC" w:rsidRPr="00DE2684">
        <w:t xml:space="preserve">onsejero/a </w:t>
      </w:r>
      <w:r w:rsidR="00870C26">
        <w:t>d</w:t>
      </w:r>
      <w:r w:rsidR="003A624B" w:rsidRPr="00DE2684">
        <w:t>elegado/a</w:t>
      </w:r>
      <w:r w:rsidRPr="00DE2684">
        <w:t>.</w:t>
      </w:r>
    </w:p>
    <w:p w14:paraId="74AD6F8C" w14:textId="5133A213" w:rsidR="00E90ABD" w:rsidRDefault="0046702E" w:rsidP="00530A99">
      <w:pPr>
        <w:spacing w:before="240"/>
      </w:pPr>
      <w:r w:rsidRPr="00DE2684">
        <w:lastRenderedPageBreak/>
        <w:t>La exposición máxima al riesgo de precio de los instrumentos de patrimonio al 31 de diciembre</w:t>
      </w:r>
      <w:r w:rsidR="00C03E87" w:rsidRPr="00DE2684">
        <w:t xml:space="preserve"> de 20</w:t>
      </w:r>
      <w:r w:rsidR="001B7E01">
        <w:t>2</w:t>
      </w:r>
      <w:r w:rsidR="00DA5556">
        <w:t>4</w:t>
      </w:r>
      <w:r w:rsidR="00A96187">
        <w:t xml:space="preserve"> y 20</w:t>
      </w:r>
      <w:r w:rsidR="002F3C13">
        <w:t>2</w:t>
      </w:r>
      <w:r w:rsidR="00DA5556">
        <w:t>3</w:t>
      </w:r>
      <w:r w:rsidR="00E66615" w:rsidRPr="00DE2684">
        <w:t xml:space="preserve"> es por importe de 601,01 euros.</w:t>
      </w:r>
    </w:p>
    <w:p w14:paraId="7AE800A0" w14:textId="77777777" w:rsidR="00F96DDA" w:rsidRPr="007E79B2" w:rsidRDefault="00F96DDA" w:rsidP="008E7D60">
      <w:pPr>
        <w:rPr>
          <w:b/>
          <w:highlight w:val="yellow"/>
        </w:rPr>
      </w:pPr>
    </w:p>
    <w:p w14:paraId="316CE460" w14:textId="77777777" w:rsidR="0046702E" w:rsidRPr="00BF501B" w:rsidRDefault="008E7D60" w:rsidP="008E7D60">
      <w:pPr>
        <w:rPr>
          <w:b/>
        </w:rPr>
      </w:pPr>
      <w:r w:rsidRPr="00BF501B">
        <w:rPr>
          <w:b/>
        </w:rPr>
        <w:t>1</w:t>
      </w:r>
      <w:r w:rsidR="00FD308D" w:rsidRPr="00BF501B">
        <w:rPr>
          <w:b/>
        </w:rPr>
        <w:t>8</w:t>
      </w:r>
      <w:r w:rsidRPr="00BF501B">
        <w:rPr>
          <w:b/>
        </w:rPr>
        <w:t>.3</w:t>
      </w:r>
      <w:r w:rsidRPr="00BF501B">
        <w:rPr>
          <w:b/>
        </w:rPr>
        <w:tab/>
      </w:r>
      <w:r w:rsidR="0046702E" w:rsidRPr="00BF501B">
        <w:rPr>
          <w:b/>
        </w:rPr>
        <w:t>Riesgo de liquidez</w:t>
      </w:r>
    </w:p>
    <w:p w14:paraId="3982003B" w14:textId="77777777" w:rsidR="00CD5D9D" w:rsidRPr="00BF501B" w:rsidRDefault="0046702E" w:rsidP="00D945F7">
      <w:pPr>
        <w:spacing w:before="240"/>
      </w:pPr>
      <w:r w:rsidRPr="00BF501B">
        <w:t>El riesgo de liquidez se produce por la posibilidad de que la Sociedad no pueda disponer de fondos líquidos, o acceder a ellos, en la cuantía suficiente y al coste adecuado, para hacer frente en todo momento a sus obligaciones de pago. El objetivo de la Sociedad es mantener las disponi</w:t>
      </w:r>
      <w:r w:rsidR="00530A99" w:rsidRPr="00BF501B">
        <w:t>bilidades liquidas necesarias.</w:t>
      </w:r>
    </w:p>
    <w:p w14:paraId="4B4FAA9B" w14:textId="3DFF6C4F" w:rsidR="00F84F94" w:rsidRDefault="0046702E" w:rsidP="0046702E">
      <w:pPr>
        <w:spacing w:before="240"/>
      </w:pPr>
      <w:r w:rsidRPr="00BF501B">
        <w:t>Los porcentajes existentes al 31 de diciembre son los siguientes:</w:t>
      </w:r>
    </w:p>
    <w:p w14:paraId="428697A5" w14:textId="77777777" w:rsidR="00E03077" w:rsidRDefault="00E03077" w:rsidP="0046702E">
      <w:pPr>
        <w:spacing w:before="240"/>
      </w:pPr>
    </w:p>
    <w:bookmarkStart w:id="112" w:name="_MON_1391575901"/>
    <w:bookmarkEnd w:id="112"/>
    <w:bookmarkStart w:id="113" w:name="_MON_1390388494"/>
    <w:bookmarkEnd w:id="113"/>
    <w:p w14:paraId="4A50C79C" w14:textId="34723453" w:rsidR="00CD5D9D" w:rsidRPr="00BF501B" w:rsidRDefault="00EF43DA" w:rsidP="00CD5D9D">
      <w:pPr>
        <w:spacing w:before="240"/>
        <w:jc w:val="center"/>
      </w:pPr>
      <w:r w:rsidRPr="00BF501B">
        <w:object w:dxaOrig="7980" w:dyaOrig="2835" w14:anchorId="096CE0D7">
          <v:shape id="_x0000_i1066" type="#_x0000_t75" style="width:377.75pt;height:131.85pt" o:ole="">
            <v:imagedata r:id="rId99" o:title=""/>
          </v:shape>
          <o:OLEObject Type="Embed" ProgID="Excel.Sheet.8" ShapeID="_x0000_i1066" DrawAspect="Content" ObjectID="_1805087298" r:id="rId100"/>
        </w:object>
      </w:r>
    </w:p>
    <w:p w14:paraId="18069A92" w14:textId="0EF7E5C7" w:rsidR="00EB6220" w:rsidRDefault="00DF5CBC" w:rsidP="00DF5CBC">
      <w:pPr>
        <w:spacing w:before="600"/>
        <w:rPr>
          <w:rFonts w:cs="Arial"/>
        </w:rPr>
      </w:pPr>
      <w:r w:rsidRPr="00BF501B">
        <w:rPr>
          <w:rFonts w:cs="Arial"/>
        </w:rPr>
        <w:t>L</w:t>
      </w:r>
      <w:r w:rsidR="00637777" w:rsidRPr="00BF501B">
        <w:rPr>
          <w:rFonts w:cs="Arial"/>
        </w:rPr>
        <w:t>a</w:t>
      </w:r>
      <w:r w:rsidRPr="00BF501B">
        <w:rPr>
          <w:rFonts w:cs="Arial"/>
        </w:rPr>
        <w:t xml:space="preserve"> situación financiera al cierre de 20</w:t>
      </w:r>
      <w:r w:rsidR="00CC522B">
        <w:rPr>
          <w:rFonts w:cs="Arial"/>
        </w:rPr>
        <w:t>2</w:t>
      </w:r>
      <w:r w:rsidR="00DA5556">
        <w:rPr>
          <w:rFonts w:cs="Arial"/>
        </w:rPr>
        <w:t>4</w:t>
      </w:r>
      <w:r w:rsidRPr="00BF501B">
        <w:rPr>
          <w:rFonts w:cs="Arial"/>
        </w:rPr>
        <w:t xml:space="preserve"> cumple con el objetivo de mantener las disponibili</w:t>
      </w:r>
      <w:r w:rsidR="00FD47FE" w:rsidRPr="00BF501B">
        <w:rPr>
          <w:rFonts w:cs="Arial"/>
        </w:rPr>
        <w:t>dades líquidas necesarias, no t</w:t>
      </w:r>
      <w:r w:rsidRPr="00BF501B">
        <w:rPr>
          <w:rFonts w:cs="Arial"/>
        </w:rPr>
        <w:t>en</w:t>
      </w:r>
      <w:r w:rsidR="00FD47FE" w:rsidRPr="00BF501B">
        <w:rPr>
          <w:rFonts w:cs="Arial"/>
        </w:rPr>
        <w:t>i</w:t>
      </w:r>
      <w:r w:rsidRPr="00BF501B">
        <w:rPr>
          <w:rFonts w:cs="Arial"/>
        </w:rPr>
        <w:t xml:space="preserve">endo previsto la Sociedad </w:t>
      </w:r>
      <w:r w:rsidR="0094625F" w:rsidRPr="00BF501B">
        <w:rPr>
          <w:rFonts w:cs="Arial"/>
        </w:rPr>
        <w:t>desfases</w:t>
      </w:r>
      <w:r w:rsidRPr="00BF501B">
        <w:rPr>
          <w:rFonts w:cs="Arial"/>
        </w:rPr>
        <w:t xml:space="preserve"> entre los vencimientos de los c</w:t>
      </w:r>
      <w:r w:rsidR="00DE2684" w:rsidRPr="00BF501B">
        <w:rPr>
          <w:rFonts w:cs="Arial"/>
        </w:rPr>
        <w:t>obros y los pagos comprometidos.</w:t>
      </w:r>
      <w:r w:rsidRPr="00BF501B">
        <w:rPr>
          <w:rFonts w:cs="Arial"/>
        </w:rPr>
        <w:t xml:space="preserve"> No obstante, en caso de generarse desviaciones solicitará anticipos de tesorería a su accionista único</w:t>
      </w:r>
      <w:r w:rsidR="006416D3">
        <w:rPr>
          <w:rFonts w:cs="Arial"/>
        </w:rPr>
        <w:t xml:space="preserve"> a cuenta de aportaciones dinerarias y encargos</w:t>
      </w:r>
      <w:r w:rsidRPr="00BF501B">
        <w:rPr>
          <w:rFonts w:cs="Arial"/>
        </w:rPr>
        <w:t>.</w:t>
      </w:r>
    </w:p>
    <w:p w14:paraId="50647FEC" w14:textId="026C64BD" w:rsidR="0046702E" w:rsidRPr="00B6446D" w:rsidRDefault="003F13DC" w:rsidP="00BD2D64">
      <w:pPr>
        <w:spacing w:before="600"/>
        <w:rPr>
          <w:rFonts w:cs="Arial"/>
          <w:b/>
        </w:rPr>
      </w:pPr>
      <w:r w:rsidRPr="00822023">
        <w:rPr>
          <w:rFonts w:cs="Arial"/>
          <w:b/>
        </w:rPr>
        <w:t>1</w:t>
      </w:r>
      <w:r w:rsidR="00FD308D" w:rsidRPr="00822023">
        <w:rPr>
          <w:rFonts w:cs="Arial"/>
          <w:b/>
        </w:rPr>
        <w:t>9</w:t>
      </w:r>
      <w:r w:rsidR="0046702E" w:rsidRPr="00822023">
        <w:rPr>
          <w:rFonts w:cs="Arial"/>
          <w:b/>
        </w:rPr>
        <w:t>.</w:t>
      </w:r>
      <w:r w:rsidR="0046702E" w:rsidRPr="00822023">
        <w:rPr>
          <w:rFonts w:cs="Arial"/>
          <w:b/>
        </w:rPr>
        <w:tab/>
        <w:t>OTRA INFORMACIÓN</w:t>
      </w:r>
    </w:p>
    <w:p w14:paraId="3A8C5302" w14:textId="77777777" w:rsidR="00B23249" w:rsidRPr="00B6446D" w:rsidRDefault="00B23249" w:rsidP="00B23249"/>
    <w:p w14:paraId="34593823" w14:textId="77777777" w:rsidR="0046702E" w:rsidRPr="002F5FBB" w:rsidRDefault="007279CF" w:rsidP="008E7D60">
      <w:pPr>
        <w:spacing w:before="240"/>
        <w:rPr>
          <w:rFonts w:cs="Arial"/>
          <w:b/>
        </w:rPr>
      </w:pPr>
      <w:r w:rsidRPr="002F5FBB">
        <w:rPr>
          <w:rFonts w:cs="Arial"/>
          <w:b/>
        </w:rPr>
        <w:t>19.1</w:t>
      </w:r>
      <w:r w:rsidRPr="002F5FBB">
        <w:rPr>
          <w:rFonts w:cs="Arial"/>
          <w:b/>
        </w:rPr>
        <w:tab/>
        <w:t>Estructura del personal</w:t>
      </w:r>
      <w:r w:rsidR="0046702E" w:rsidRPr="002F5FBB">
        <w:rPr>
          <w:rFonts w:cs="Arial"/>
          <w:b/>
        </w:rPr>
        <w:t xml:space="preserve"> </w:t>
      </w:r>
    </w:p>
    <w:p w14:paraId="4F931CC3" w14:textId="2D9867A9" w:rsidR="00E2709E" w:rsidRDefault="0046702E" w:rsidP="00F02D0F">
      <w:pPr>
        <w:spacing w:before="240"/>
        <w:rPr>
          <w:rFonts w:cs="Arial"/>
        </w:rPr>
      </w:pPr>
      <w:r w:rsidRPr="002F5FBB">
        <w:rPr>
          <w:rFonts w:cs="Arial"/>
        </w:rPr>
        <w:t>Las personas empleadas por la Sociedad distribuidas por categorías son las siguientes:</w:t>
      </w:r>
      <w:bookmarkStart w:id="114" w:name="_MON_1390386046"/>
      <w:bookmarkStart w:id="115" w:name="_MON_1390632537"/>
      <w:bookmarkStart w:id="116" w:name="_MON_1390633790"/>
      <w:bookmarkStart w:id="117" w:name="_MON_1390633802"/>
      <w:bookmarkStart w:id="118" w:name="_MON_1390633936"/>
      <w:bookmarkEnd w:id="114"/>
      <w:bookmarkEnd w:id="115"/>
      <w:bookmarkEnd w:id="116"/>
      <w:bookmarkEnd w:id="117"/>
      <w:bookmarkEnd w:id="118"/>
    </w:p>
    <w:p w14:paraId="3350DEFC" w14:textId="4087476F" w:rsidR="00E2709E" w:rsidRDefault="00E2709E" w:rsidP="00F802A6">
      <w:pPr>
        <w:rPr>
          <w:rFonts w:cs="Arial"/>
        </w:rPr>
      </w:pPr>
    </w:p>
    <w:p w14:paraId="4D84B947" w14:textId="77777777" w:rsidR="00747CFE" w:rsidRDefault="00747CFE" w:rsidP="00F802A6">
      <w:pPr>
        <w:rPr>
          <w:rFonts w:cs="Arial"/>
        </w:rPr>
      </w:pPr>
    </w:p>
    <w:p w14:paraId="4F286C7B" w14:textId="77777777" w:rsidR="00747CFE" w:rsidRDefault="00747CFE" w:rsidP="00FE0A30">
      <w:pPr>
        <w:jc w:val="center"/>
        <w:rPr>
          <w:noProof/>
        </w:rPr>
      </w:pPr>
    </w:p>
    <w:p w14:paraId="44A2BB60" w14:textId="77C4ACDC" w:rsidR="00E2709E" w:rsidRDefault="00FE0A30" w:rsidP="00FE0A30">
      <w:pPr>
        <w:jc w:val="center"/>
        <w:rPr>
          <w:rFonts w:cs="Arial"/>
        </w:rPr>
      </w:pPr>
      <w:r w:rsidRPr="00FE0A30">
        <w:rPr>
          <w:noProof/>
        </w:rPr>
        <w:lastRenderedPageBreak/>
        <w:drawing>
          <wp:inline distT="0" distB="0" distL="0" distR="0" wp14:anchorId="4C57EF00" wp14:editId="7F7B41B5">
            <wp:extent cx="4991100" cy="7648575"/>
            <wp:effectExtent l="0" t="0" r="0" b="9525"/>
            <wp:docPr id="860052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1100" cy="7648575"/>
                    </a:xfrm>
                    <a:prstGeom prst="rect">
                      <a:avLst/>
                    </a:prstGeom>
                    <a:noFill/>
                    <a:ln>
                      <a:noFill/>
                    </a:ln>
                  </pic:spPr>
                </pic:pic>
              </a:graphicData>
            </a:graphic>
          </wp:inline>
        </w:drawing>
      </w:r>
    </w:p>
    <w:p w14:paraId="50E8421B" w14:textId="77777777" w:rsidR="003C78B5" w:rsidRDefault="003C78B5" w:rsidP="00FE0A30">
      <w:pPr>
        <w:jc w:val="center"/>
        <w:rPr>
          <w:rFonts w:cs="Arial"/>
        </w:rPr>
      </w:pPr>
    </w:p>
    <w:p w14:paraId="2E280906" w14:textId="77777777" w:rsidR="00747CFE" w:rsidRDefault="00747CFE" w:rsidP="00FE0A30">
      <w:pPr>
        <w:jc w:val="center"/>
        <w:rPr>
          <w:rFonts w:cs="Arial"/>
        </w:rPr>
      </w:pPr>
    </w:p>
    <w:p w14:paraId="7A4A7D63" w14:textId="77777777" w:rsidR="00747CFE" w:rsidRDefault="00747CFE" w:rsidP="00FE0A30">
      <w:pPr>
        <w:jc w:val="center"/>
        <w:rPr>
          <w:rFonts w:cs="Arial"/>
        </w:rPr>
      </w:pPr>
    </w:p>
    <w:p w14:paraId="57E21299" w14:textId="77777777" w:rsidR="00747CFE" w:rsidRDefault="00747CFE" w:rsidP="00FE0A30">
      <w:pPr>
        <w:jc w:val="center"/>
        <w:rPr>
          <w:rFonts w:cs="Arial"/>
        </w:rPr>
      </w:pPr>
    </w:p>
    <w:p w14:paraId="1BE953FD" w14:textId="77777777" w:rsidR="00747CFE" w:rsidRDefault="00747CFE" w:rsidP="00FE0A30">
      <w:pPr>
        <w:jc w:val="center"/>
        <w:rPr>
          <w:rFonts w:cs="Arial"/>
        </w:rPr>
      </w:pPr>
    </w:p>
    <w:p w14:paraId="197C792F" w14:textId="77777777" w:rsidR="00747CFE" w:rsidRDefault="00747CFE" w:rsidP="00FE0A30">
      <w:pPr>
        <w:jc w:val="center"/>
        <w:rPr>
          <w:rFonts w:cs="Arial"/>
        </w:rPr>
      </w:pPr>
    </w:p>
    <w:p w14:paraId="4C6460CB" w14:textId="686DCEF3" w:rsidR="00E2709E" w:rsidRDefault="008C4F4B" w:rsidP="008C4F4B">
      <w:pPr>
        <w:jc w:val="center"/>
        <w:rPr>
          <w:rFonts w:cs="Arial"/>
        </w:rPr>
      </w:pPr>
      <w:r w:rsidRPr="008C4F4B">
        <w:rPr>
          <w:noProof/>
        </w:rPr>
        <w:drawing>
          <wp:inline distT="0" distB="0" distL="0" distR="0" wp14:anchorId="6532863A" wp14:editId="3540CBB4">
            <wp:extent cx="4857412" cy="762575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55696" cy="7780049"/>
                    </a:xfrm>
                    <a:prstGeom prst="rect">
                      <a:avLst/>
                    </a:prstGeom>
                    <a:noFill/>
                    <a:ln>
                      <a:noFill/>
                    </a:ln>
                  </pic:spPr>
                </pic:pic>
              </a:graphicData>
            </a:graphic>
          </wp:inline>
        </w:drawing>
      </w:r>
    </w:p>
    <w:p w14:paraId="1A02919A" w14:textId="11D38C50" w:rsidR="00E2709E" w:rsidRDefault="00E2709E" w:rsidP="00F802A6">
      <w:pPr>
        <w:rPr>
          <w:rFonts w:cs="Arial"/>
        </w:rPr>
      </w:pPr>
    </w:p>
    <w:p w14:paraId="7BBA9D52" w14:textId="41323ED6" w:rsidR="00F1023F" w:rsidRDefault="00F1023F" w:rsidP="00F802A6">
      <w:pPr>
        <w:rPr>
          <w:rFonts w:cs="Arial"/>
        </w:rPr>
      </w:pPr>
    </w:p>
    <w:p w14:paraId="3FA16EE2" w14:textId="2F27B775" w:rsidR="00F1023F" w:rsidRDefault="00F1023F" w:rsidP="00F802A6">
      <w:pPr>
        <w:rPr>
          <w:rFonts w:cs="Arial"/>
        </w:rPr>
      </w:pPr>
    </w:p>
    <w:p w14:paraId="02472A71" w14:textId="25B6542A" w:rsidR="00BD2D64" w:rsidRPr="00AB57D4" w:rsidRDefault="00A7777C" w:rsidP="0046702E">
      <w:pPr>
        <w:spacing w:before="240"/>
        <w:rPr>
          <w:rFonts w:cs="Arial"/>
        </w:rPr>
      </w:pPr>
      <w:r w:rsidRPr="00AB57D4">
        <w:rPr>
          <w:rFonts w:cs="Arial"/>
        </w:rPr>
        <w:lastRenderedPageBreak/>
        <w:t>E</w:t>
      </w:r>
      <w:r w:rsidR="0046702E" w:rsidRPr="00AB57D4">
        <w:rPr>
          <w:rFonts w:cs="Arial"/>
        </w:rPr>
        <w:t>l Consejo de A</w:t>
      </w:r>
      <w:r w:rsidR="00495F0D" w:rsidRPr="00AB57D4">
        <w:rPr>
          <w:rFonts w:cs="Arial"/>
        </w:rPr>
        <w:t>d</w:t>
      </w:r>
      <w:r w:rsidR="003756E4" w:rsidRPr="00AB57D4">
        <w:rPr>
          <w:rFonts w:cs="Arial"/>
        </w:rPr>
        <w:t xml:space="preserve">ministración </w:t>
      </w:r>
      <w:r w:rsidR="0094625F" w:rsidRPr="00AB57D4">
        <w:rPr>
          <w:rFonts w:cs="Arial"/>
        </w:rPr>
        <w:t>está</w:t>
      </w:r>
      <w:r w:rsidR="003756E4" w:rsidRPr="00AB57D4">
        <w:rPr>
          <w:rFonts w:cs="Arial"/>
        </w:rPr>
        <w:t xml:space="preserve"> formado por </w:t>
      </w:r>
      <w:r w:rsidR="00AA38AC" w:rsidRPr="00AB57D4">
        <w:rPr>
          <w:rFonts w:cs="Arial"/>
        </w:rPr>
        <w:t>8</w:t>
      </w:r>
      <w:r w:rsidR="00495F0D" w:rsidRPr="00AB57D4">
        <w:rPr>
          <w:rFonts w:cs="Arial"/>
        </w:rPr>
        <w:t xml:space="preserve"> personas, de las cuales </w:t>
      </w:r>
      <w:r w:rsidR="00771B14" w:rsidRPr="00AB57D4">
        <w:rPr>
          <w:rFonts w:cs="Arial"/>
        </w:rPr>
        <w:t>3</w:t>
      </w:r>
      <w:r w:rsidR="00703465" w:rsidRPr="00AB57D4">
        <w:rPr>
          <w:rFonts w:cs="Arial"/>
        </w:rPr>
        <w:t xml:space="preserve"> son </w:t>
      </w:r>
      <w:r w:rsidR="00B67ECD" w:rsidRPr="00AB57D4">
        <w:rPr>
          <w:rFonts w:cs="Arial"/>
        </w:rPr>
        <w:t xml:space="preserve">mujeres </w:t>
      </w:r>
      <w:r w:rsidR="00703465" w:rsidRPr="00AB57D4">
        <w:rPr>
          <w:rFonts w:cs="Arial"/>
        </w:rPr>
        <w:t xml:space="preserve">y </w:t>
      </w:r>
      <w:r w:rsidR="00AA38AC" w:rsidRPr="00AB57D4">
        <w:rPr>
          <w:rFonts w:cs="Arial"/>
        </w:rPr>
        <w:t>5</w:t>
      </w:r>
      <w:r w:rsidR="00B67ECD" w:rsidRPr="00AB57D4">
        <w:rPr>
          <w:rFonts w:cs="Arial"/>
        </w:rPr>
        <w:t xml:space="preserve"> son hombres</w:t>
      </w:r>
      <w:r w:rsidR="0046702E" w:rsidRPr="00AB57D4">
        <w:rPr>
          <w:rFonts w:cs="Arial"/>
        </w:rPr>
        <w:t>.</w:t>
      </w:r>
    </w:p>
    <w:p w14:paraId="7F33DC81" w14:textId="77777777" w:rsidR="007F66FD" w:rsidRPr="00EF43DA" w:rsidRDefault="007F66FD" w:rsidP="00D36E70">
      <w:pPr>
        <w:rPr>
          <w:rFonts w:cs="Arial"/>
          <w:highlight w:val="yellow"/>
        </w:rPr>
      </w:pPr>
    </w:p>
    <w:p w14:paraId="577C058C" w14:textId="06522FFB" w:rsidR="00682A6B" w:rsidRPr="00682A6B" w:rsidRDefault="00682A6B" w:rsidP="00682A6B">
      <w:pPr>
        <w:rPr>
          <w:lang w:val="es-ES"/>
        </w:rPr>
      </w:pPr>
      <w:bookmarkStart w:id="119" w:name="_Hlk190689822"/>
      <w:bookmarkStart w:id="120" w:name="_Hlk64009837"/>
      <w:bookmarkStart w:id="121" w:name="_Hlk32311750"/>
      <w:bookmarkStart w:id="122" w:name="_Hlk127962302"/>
      <w:r w:rsidRPr="00373018">
        <w:rPr>
          <w:lang w:val="es-ES"/>
        </w:rPr>
        <w:t>El número medio de personas contratadas durante el ejercicio 202</w:t>
      </w:r>
      <w:r w:rsidR="00373018" w:rsidRPr="00373018">
        <w:rPr>
          <w:lang w:val="es-ES"/>
        </w:rPr>
        <w:t>4</w:t>
      </w:r>
      <w:r w:rsidRPr="00373018">
        <w:rPr>
          <w:lang w:val="es-ES"/>
        </w:rPr>
        <w:t xml:space="preserve"> y 202</w:t>
      </w:r>
      <w:r w:rsidR="00373018" w:rsidRPr="00373018">
        <w:rPr>
          <w:lang w:val="es-ES"/>
        </w:rPr>
        <w:t>3</w:t>
      </w:r>
      <w:r w:rsidRPr="00373018">
        <w:rPr>
          <w:lang w:val="es-ES"/>
        </w:rPr>
        <w:t xml:space="preserve"> con un grado de discapacidad igual o superior al 33% ascendía a 4, siendo sus categorías profesionales “Diplomado/a”, “Oficial Administrativo/a" y "Licenciado/a".</w:t>
      </w:r>
    </w:p>
    <w:bookmarkEnd w:id="119"/>
    <w:p w14:paraId="7FDE7295" w14:textId="7D872865" w:rsidR="00682A6B" w:rsidRDefault="00682A6B" w:rsidP="00682A6B">
      <w:pPr>
        <w:rPr>
          <w:lang w:val="es-ES"/>
        </w:rPr>
      </w:pPr>
    </w:p>
    <w:bookmarkEnd w:id="120"/>
    <w:bookmarkEnd w:id="121"/>
    <w:bookmarkEnd w:id="122"/>
    <w:p w14:paraId="50F18BA2" w14:textId="76FE73AE" w:rsidR="0046702E" w:rsidRPr="009F6445" w:rsidRDefault="00FD308D" w:rsidP="001B13AE">
      <w:pPr>
        <w:spacing w:before="240"/>
        <w:rPr>
          <w:rFonts w:cs="Arial"/>
          <w:b/>
        </w:rPr>
      </w:pPr>
      <w:r w:rsidRPr="009F6445">
        <w:rPr>
          <w:rFonts w:cs="Arial"/>
          <w:b/>
        </w:rPr>
        <w:t>19</w:t>
      </w:r>
      <w:r w:rsidR="001B13AE" w:rsidRPr="009F6445">
        <w:rPr>
          <w:rFonts w:cs="Arial"/>
          <w:b/>
        </w:rPr>
        <w:t>.2</w:t>
      </w:r>
      <w:r w:rsidR="001B13AE" w:rsidRPr="009F6445">
        <w:rPr>
          <w:rFonts w:cs="Arial"/>
          <w:b/>
        </w:rPr>
        <w:tab/>
      </w:r>
      <w:r w:rsidR="0046702E" w:rsidRPr="009F6445">
        <w:rPr>
          <w:rFonts w:cs="Arial"/>
          <w:b/>
        </w:rPr>
        <w:t>Honorarios de auditoría</w:t>
      </w:r>
    </w:p>
    <w:p w14:paraId="5D86A89B" w14:textId="2CA0FCE4" w:rsidR="00476FFB" w:rsidRDefault="00476FFB" w:rsidP="00476FFB">
      <w:pPr>
        <w:spacing w:before="240"/>
        <w:rPr>
          <w:rFonts w:cs="Arial"/>
        </w:rPr>
      </w:pPr>
      <w:r w:rsidRPr="009F6445">
        <w:rPr>
          <w:rFonts w:cs="Arial"/>
        </w:rPr>
        <w:t>Los honorarios devengados en el ejercicio por los servicios prestados por el auditor de cuentas han sido los siguientes:</w:t>
      </w:r>
    </w:p>
    <w:p w14:paraId="0537D4D7" w14:textId="23166C71" w:rsidR="00476FFB" w:rsidRDefault="00476FFB" w:rsidP="00476FFB">
      <w:pPr>
        <w:jc w:val="right"/>
        <w:rPr>
          <w:rFonts w:asciiTheme="minorHAnsi" w:hAnsiTheme="minorHAnsi" w:cstheme="minorHAnsi"/>
        </w:rPr>
      </w:pPr>
    </w:p>
    <w:tbl>
      <w:tblPr>
        <w:tblW w:w="9019" w:type="dxa"/>
        <w:tblInd w:w="96" w:type="dxa"/>
        <w:tblLayout w:type="fixed"/>
        <w:tblCellMar>
          <w:left w:w="99" w:type="dxa"/>
          <w:right w:w="99" w:type="dxa"/>
        </w:tblCellMar>
        <w:tblLook w:val="0000" w:firstRow="0" w:lastRow="0" w:firstColumn="0" w:lastColumn="0" w:noHBand="0" w:noVBand="0"/>
      </w:tblPr>
      <w:tblGrid>
        <w:gridCol w:w="5870"/>
        <w:gridCol w:w="1574"/>
        <w:gridCol w:w="1575"/>
      </w:tblGrid>
      <w:tr w:rsidR="00251A50" w:rsidRPr="0031546A" w14:paraId="6952C2E9" w14:textId="77777777" w:rsidTr="00251A50">
        <w:trPr>
          <w:cantSplit/>
          <w:trHeight w:val="269"/>
        </w:trPr>
        <w:tc>
          <w:tcPr>
            <w:tcW w:w="5870" w:type="dxa"/>
            <w:tcBorders>
              <w:top w:val="single" w:sz="4" w:space="0" w:color="auto"/>
              <w:bottom w:val="single" w:sz="4" w:space="0" w:color="auto"/>
            </w:tcBorders>
            <w:shd w:val="clear" w:color="auto" w:fill="D9D9D9"/>
            <w:vAlign w:val="bottom"/>
          </w:tcPr>
          <w:p w14:paraId="49ECEA30" w14:textId="77777777" w:rsidR="00251A50" w:rsidRPr="0031546A" w:rsidRDefault="00251A50" w:rsidP="00251A50">
            <w:pPr>
              <w:rPr>
                <w:rFonts w:asciiTheme="minorHAnsi" w:hAnsiTheme="minorHAnsi" w:cstheme="minorHAnsi"/>
                <w:b/>
                <w:sz w:val="18"/>
                <w:szCs w:val="18"/>
              </w:rPr>
            </w:pPr>
            <w:r w:rsidRPr="0031546A">
              <w:rPr>
                <w:rFonts w:asciiTheme="minorHAnsi" w:hAnsiTheme="minorHAnsi" w:cstheme="minorHAnsi"/>
                <w:b/>
                <w:sz w:val="18"/>
                <w:szCs w:val="18"/>
              </w:rPr>
              <w:t>(Euros)</w:t>
            </w:r>
          </w:p>
        </w:tc>
        <w:tc>
          <w:tcPr>
            <w:tcW w:w="1574" w:type="dxa"/>
            <w:tcBorders>
              <w:top w:val="single" w:sz="4" w:space="0" w:color="auto"/>
              <w:bottom w:val="single" w:sz="4" w:space="0" w:color="auto"/>
            </w:tcBorders>
            <w:shd w:val="clear" w:color="auto" w:fill="D9D9D9"/>
            <w:vAlign w:val="bottom"/>
          </w:tcPr>
          <w:p w14:paraId="20E1021D" w14:textId="5A06B44E"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7B3C40" w:rsidRPr="0031546A">
              <w:rPr>
                <w:rFonts w:asciiTheme="minorHAnsi" w:hAnsiTheme="minorHAnsi" w:cstheme="minorHAnsi"/>
                <w:b/>
                <w:sz w:val="18"/>
                <w:szCs w:val="18"/>
              </w:rPr>
              <w:t>2</w:t>
            </w:r>
            <w:r w:rsidR="0010775B">
              <w:rPr>
                <w:rFonts w:asciiTheme="minorHAnsi" w:hAnsiTheme="minorHAnsi" w:cstheme="minorHAnsi"/>
                <w:b/>
                <w:sz w:val="18"/>
                <w:szCs w:val="18"/>
              </w:rPr>
              <w:t>4</w:t>
            </w:r>
          </w:p>
        </w:tc>
        <w:tc>
          <w:tcPr>
            <w:tcW w:w="1575" w:type="dxa"/>
            <w:tcBorders>
              <w:top w:val="single" w:sz="4" w:space="0" w:color="auto"/>
              <w:bottom w:val="single" w:sz="4" w:space="0" w:color="auto"/>
            </w:tcBorders>
            <w:shd w:val="clear" w:color="auto" w:fill="D9D9D9"/>
            <w:vAlign w:val="bottom"/>
          </w:tcPr>
          <w:p w14:paraId="731AE1BB" w14:textId="4F0ECC0E"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A07A00">
              <w:rPr>
                <w:rFonts w:asciiTheme="minorHAnsi" w:hAnsiTheme="minorHAnsi" w:cstheme="minorHAnsi"/>
                <w:b/>
                <w:sz w:val="18"/>
                <w:szCs w:val="18"/>
              </w:rPr>
              <w:t>2</w:t>
            </w:r>
            <w:r w:rsidR="0010775B">
              <w:rPr>
                <w:rFonts w:asciiTheme="minorHAnsi" w:hAnsiTheme="minorHAnsi" w:cstheme="minorHAnsi"/>
                <w:b/>
                <w:sz w:val="18"/>
                <w:szCs w:val="18"/>
              </w:rPr>
              <w:t>3</w:t>
            </w:r>
          </w:p>
        </w:tc>
      </w:tr>
      <w:tr w:rsidR="00251A50" w:rsidRPr="0031546A" w14:paraId="13662D2B" w14:textId="77777777" w:rsidTr="00251A50">
        <w:trPr>
          <w:cantSplit/>
          <w:trHeight w:val="76"/>
        </w:trPr>
        <w:tc>
          <w:tcPr>
            <w:tcW w:w="5870" w:type="dxa"/>
            <w:tcBorders>
              <w:top w:val="single" w:sz="4" w:space="0" w:color="auto"/>
            </w:tcBorders>
            <w:vAlign w:val="bottom"/>
          </w:tcPr>
          <w:p w14:paraId="270C47C7" w14:textId="77777777" w:rsidR="00251A50" w:rsidRPr="0031546A" w:rsidRDefault="00251A50" w:rsidP="00251A50">
            <w:pPr>
              <w:rPr>
                <w:rFonts w:asciiTheme="minorHAnsi" w:hAnsiTheme="minorHAnsi" w:cstheme="minorHAnsi"/>
                <w:sz w:val="18"/>
                <w:szCs w:val="18"/>
              </w:rPr>
            </w:pPr>
          </w:p>
        </w:tc>
        <w:tc>
          <w:tcPr>
            <w:tcW w:w="1574" w:type="dxa"/>
            <w:tcBorders>
              <w:top w:val="single" w:sz="4" w:space="0" w:color="auto"/>
            </w:tcBorders>
            <w:vAlign w:val="bottom"/>
          </w:tcPr>
          <w:p w14:paraId="1D2A5CAF" w14:textId="77777777" w:rsidR="00251A50" w:rsidRPr="0031546A" w:rsidRDefault="00251A50" w:rsidP="00251A50">
            <w:pPr>
              <w:tabs>
                <w:tab w:val="decimal" w:pos="993"/>
              </w:tabs>
              <w:ind w:left="170"/>
              <w:jc w:val="right"/>
              <w:rPr>
                <w:rFonts w:asciiTheme="minorHAnsi" w:hAnsiTheme="minorHAnsi" w:cstheme="minorHAnsi"/>
                <w:sz w:val="18"/>
                <w:szCs w:val="18"/>
              </w:rPr>
            </w:pPr>
          </w:p>
        </w:tc>
        <w:tc>
          <w:tcPr>
            <w:tcW w:w="1575" w:type="dxa"/>
            <w:tcBorders>
              <w:top w:val="single" w:sz="4" w:space="0" w:color="auto"/>
            </w:tcBorders>
            <w:vAlign w:val="bottom"/>
          </w:tcPr>
          <w:p w14:paraId="7D3272AC" w14:textId="77777777" w:rsidR="00251A50" w:rsidRPr="0031546A" w:rsidRDefault="00251A50" w:rsidP="00251A50">
            <w:pPr>
              <w:tabs>
                <w:tab w:val="decimal" w:pos="993"/>
              </w:tabs>
              <w:ind w:left="170"/>
              <w:jc w:val="right"/>
              <w:rPr>
                <w:rFonts w:asciiTheme="minorHAnsi" w:hAnsiTheme="minorHAnsi" w:cstheme="minorHAnsi"/>
                <w:sz w:val="18"/>
                <w:szCs w:val="18"/>
              </w:rPr>
            </w:pPr>
          </w:p>
        </w:tc>
      </w:tr>
      <w:tr w:rsidR="0010775B" w:rsidRPr="0031546A" w14:paraId="4AD1540B" w14:textId="77777777" w:rsidTr="00251A50">
        <w:trPr>
          <w:cantSplit/>
          <w:trHeight w:val="269"/>
        </w:trPr>
        <w:tc>
          <w:tcPr>
            <w:tcW w:w="5870" w:type="dxa"/>
            <w:vAlign w:val="bottom"/>
          </w:tcPr>
          <w:p w14:paraId="51DF87B0" w14:textId="77777777" w:rsidR="0010775B" w:rsidRPr="0031546A" w:rsidRDefault="0010775B" w:rsidP="0010775B">
            <w:pPr>
              <w:rPr>
                <w:rFonts w:asciiTheme="minorHAnsi" w:hAnsiTheme="minorHAnsi" w:cstheme="minorHAnsi"/>
                <w:sz w:val="18"/>
                <w:szCs w:val="18"/>
              </w:rPr>
            </w:pPr>
            <w:r w:rsidRPr="0031546A">
              <w:rPr>
                <w:rFonts w:asciiTheme="minorHAnsi" w:hAnsiTheme="minorHAnsi" w:cstheme="minorHAnsi"/>
                <w:sz w:val="18"/>
                <w:szCs w:val="18"/>
              </w:rPr>
              <w:t>Servicios de auditoría cuentas anuales</w:t>
            </w:r>
          </w:p>
        </w:tc>
        <w:tc>
          <w:tcPr>
            <w:tcW w:w="1574" w:type="dxa"/>
            <w:vAlign w:val="bottom"/>
          </w:tcPr>
          <w:p w14:paraId="07654634" w14:textId="4B0EB9B9" w:rsidR="0010775B" w:rsidRPr="0031546A" w:rsidRDefault="0010775B" w:rsidP="0010775B">
            <w:pPr>
              <w:ind w:left="170"/>
              <w:jc w:val="right"/>
              <w:rPr>
                <w:rFonts w:asciiTheme="minorHAnsi" w:hAnsiTheme="minorHAnsi" w:cstheme="minorHAnsi"/>
                <w:sz w:val="18"/>
                <w:szCs w:val="18"/>
              </w:rPr>
            </w:pPr>
            <w:r>
              <w:rPr>
                <w:rFonts w:asciiTheme="minorHAnsi" w:hAnsiTheme="minorHAnsi" w:cstheme="minorHAnsi"/>
                <w:sz w:val="18"/>
                <w:szCs w:val="18"/>
              </w:rPr>
              <w:t>11.250</w:t>
            </w:r>
            <w:r w:rsidRPr="0031546A">
              <w:rPr>
                <w:rFonts w:asciiTheme="minorHAnsi" w:hAnsiTheme="minorHAnsi" w:cstheme="minorHAnsi"/>
                <w:sz w:val="18"/>
                <w:szCs w:val="18"/>
              </w:rPr>
              <w:t>,00</w:t>
            </w:r>
          </w:p>
        </w:tc>
        <w:tc>
          <w:tcPr>
            <w:tcW w:w="1575" w:type="dxa"/>
            <w:vAlign w:val="bottom"/>
          </w:tcPr>
          <w:p w14:paraId="5342F582" w14:textId="6942593F" w:rsidR="0010775B" w:rsidRPr="0031546A" w:rsidRDefault="0010775B" w:rsidP="0010775B">
            <w:pPr>
              <w:ind w:left="170"/>
              <w:jc w:val="right"/>
              <w:rPr>
                <w:rFonts w:asciiTheme="minorHAnsi" w:hAnsiTheme="minorHAnsi" w:cstheme="minorHAnsi"/>
                <w:sz w:val="18"/>
                <w:szCs w:val="18"/>
              </w:rPr>
            </w:pPr>
            <w:r w:rsidRPr="0031546A">
              <w:rPr>
                <w:rFonts w:asciiTheme="minorHAnsi" w:hAnsiTheme="minorHAnsi" w:cstheme="minorHAnsi"/>
                <w:sz w:val="18"/>
                <w:szCs w:val="18"/>
              </w:rPr>
              <w:t>8.800,00</w:t>
            </w:r>
          </w:p>
        </w:tc>
      </w:tr>
      <w:tr w:rsidR="0010775B" w:rsidRPr="0031546A" w14:paraId="07AAFDB2" w14:textId="77777777" w:rsidTr="00251A50">
        <w:trPr>
          <w:cantSplit/>
          <w:trHeight w:val="269"/>
        </w:trPr>
        <w:tc>
          <w:tcPr>
            <w:tcW w:w="5870" w:type="dxa"/>
            <w:vAlign w:val="bottom"/>
          </w:tcPr>
          <w:p w14:paraId="67C196B6" w14:textId="053DE82D" w:rsidR="0010775B" w:rsidRPr="0031546A" w:rsidRDefault="0010775B" w:rsidP="0010775B">
            <w:pPr>
              <w:rPr>
                <w:rFonts w:asciiTheme="minorHAnsi" w:hAnsiTheme="minorHAnsi" w:cstheme="minorHAnsi"/>
                <w:sz w:val="18"/>
                <w:szCs w:val="18"/>
              </w:rPr>
            </w:pPr>
            <w:r>
              <w:rPr>
                <w:rFonts w:asciiTheme="minorHAnsi" w:hAnsiTheme="minorHAnsi" w:cstheme="minorHAnsi"/>
                <w:sz w:val="18"/>
                <w:szCs w:val="18"/>
              </w:rPr>
              <w:t>Otros servicios</w:t>
            </w:r>
          </w:p>
        </w:tc>
        <w:tc>
          <w:tcPr>
            <w:tcW w:w="1574" w:type="dxa"/>
            <w:vAlign w:val="bottom"/>
          </w:tcPr>
          <w:p w14:paraId="08BFA321" w14:textId="3E839297" w:rsidR="0010775B" w:rsidRPr="0031546A" w:rsidRDefault="0010775B" w:rsidP="0010775B">
            <w:pPr>
              <w:ind w:left="170"/>
              <w:jc w:val="right"/>
              <w:rPr>
                <w:rFonts w:asciiTheme="minorHAnsi" w:hAnsiTheme="minorHAnsi" w:cstheme="minorHAnsi"/>
                <w:sz w:val="18"/>
                <w:szCs w:val="18"/>
              </w:rPr>
            </w:pPr>
            <w:r>
              <w:rPr>
                <w:rFonts w:asciiTheme="minorHAnsi" w:hAnsiTheme="minorHAnsi" w:cstheme="minorHAnsi"/>
                <w:sz w:val="18"/>
                <w:szCs w:val="18"/>
              </w:rPr>
              <w:t>0,00</w:t>
            </w:r>
          </w:p>
        </w:tc>
        <w:tc>
          <w:tcPr>
            <w:tcW w:w="1575" w:type="dxa"/>
            <w:vAlign w:val="bottom"/>
          </w:tcPr>
          <w:p w14:paraId="3AE1E8C1" w14:textId="49A88D21" w:rsidR="0010775B" w:rsidRDefault="0010775B" w:rsidP="0010775B">
            <w:pPr>
              <w:ind w:left="170"/>
              <w:jc w:val="right"/>
              <w:rPr>
                <w:rFonts w:asciiTheme="minorHAnsi" w:hAnsiTheme="minorHAnsi" w:cstheme="minorHAnsi"/>
                <w:sz w:val="18"/>
                <w:szCs w:val="18"/>
              </w:rPr>
            </w:pPr>
            <w:r>
              <w:rPr>
                <w:rFonts w:asciiTheme="minorHAnsi" w:hAnsiTheme="minorHAnsi" w:cstheme="minorHAnsi"/>
                <w:sz w:val="18"/>
                <w:szCs w:val="18"/>
              </w:rPr>
              <w:t>5.530,00</w:t>
            </w:r>
          </w:p>
        </w:tc>
      </w:tr>
      <w:tr w:rsidR="0010775B" w:rsidRPr="0031546A" w14:paraId="1E85B29E" w14:textId="77777777" w:rsidTr="00251A50">
        <w:trPr>
          <w:cantSplit/>
          <w:trHeight w:val="129"/>
        </w:trPr>
        <w:tc>
          <w:tcPr>
            <w:tcW w:w="5870" w:type="dxa"/>
            <w:tcBorders>
              <w:top w:val="single" w:sz="4" w:space="0" w:color="auto"/>
              <w:bottom w:val="single" w:sz="4" w:space="0" w:color="auto"/>
            </w:tcBorders>
            <w:shd w:val="clear" w:color="auto" w:fill="D9D9D9"/>
            <w:vAlign w:val="bottom"/>
          </w:tcPr>
          <w:p w14:paraId="5B91FF57" w14:textId="77777777" w:rsidR="0010775B" w:rsidRPr="0031546A" w:rsidRDefault="0010775B" w:rsidP="0010775B">
            <w:pPr>
              <w:ind w:firstLine="240"/>
              <w:rPr>
                <w:rFonts w:asciiTheme="minorHAnsi" w:hAnsiTheme="minorHAnsi" w:cstheme="minorHAnsi"/>
                <w:b/>
                <w:sz w:val="18"/>
                <w:szCs w:val="18"/>
              </w:rPr>
            </w:pPr>
          </w:p>
        </w:tc>
        <w:tc>
          <w:tcPr>
            <w:tcW w:w="1574" w:type="dxa"/>
            <w:tcBorders>
              <w:top w:val="single" w:sz="4" w:space="0" w:color="auto"/>
              <w:bottom w:val="single" w:sz="4" w:space="0" w:color="auto"/>
            </w:tcBorders>
            <w:shd w:val="clear" w:color="auto" w:fill="D9D9D9"/>
            <w:vAlign w:val="bottom"/>
          </w:tcPr>
          <w:p w14:paraId="0AFD822D" w14:textId="7F82611C" w:rsidR="0010775B" w:rsidRPr="0031546A" w:rsidRDefault="0010775B" w:rsidP="0010775B">
            <w:pPr>
              <w:ind w:left="170"/>
              <w:jc w:val="right"/>
              <w:rPr>
                <w:rFonts w:asciiTheme="minorHAnsi" w:hAnsiTheme="minorHAnsi" w:cstheme="minorHAnsi"/>
                <w:b/>
                <w:sz w:val="18"/>
                <w:szCs w:val="18"/>
              </w:rPr>
            </w:pPr>
            <w:r>
              <w:rPr>
                <w:rFonts w:asciiTheme="minorHAnsi" w:hAnsiTheme="minorHAnsi" w:cstheme="minorHAnsi"/>
                <w:b/>
                <w:sz w:val="18"/>
                <w:szCs w:val="18"/>
              </w:rPr>
              <w:t>11.250,00</w:t>
            </w:r>
          </w:p>
        </w:tc>
        <w:tc>
          <w:tcPr>
            <w:tcW w:w="1575" w:type="dxa"/>
            <w:tcBorders>
              <w:top w:val="single" w:sz="4" w:space="0" w:color="auto"/>
              <w:bottom w:val="single" w:sz="4" w:space="0" w:color="auto"/>
            </w:tcBorders>
            <w:shd w:val="clear" w:color="auto" w:fill="D9D9D9"/>
            <w:vAlign w:val="bottom"/>
          </w:tcPr>
          <w:p w14:paraId="3A77BC75" w14:textId="0DAAE563" w:rsidR="0010775B" w:rsidRPr="0031546A" w:rsidRDefault="0010775B" w:rsidP="0010775B">
            <w:pPr>
              <w:ind w:left="170"/>
              <w:jc w:val="right"/>
              <w:rPr>
                <w:rFonts w:asciiTheme="minorHAnsi" w:hAnsiTheme="minorHAnsi" w:cstheme="minorHAnsi"/>
                <w:b/>
                <w:sz w:val="18"/>
                <w:szCs w:val="18"/>
              </w:rPr>
            </w:pPr>
            <w:r>
              <w:rPr>
                <w:rFonts w:asciiTheme="minorHAnsi" w:hAnsiTheme="minorHAnsi" w:cstheme="minorHAnsi"/>
                <w:b/>
                <w:sz w:val="18"/>
                <w:szCs w:val="18"/>
              </w:rPr>
              <w:t>14.330,00</w:t>
            </w:r>
          </w:p>
        </w:tc>
      </w:tr>
    </w:tbl>
    <w:p w14:paraId="0463C5C8" w14:textId="77777777" w:rsidR="00F26B81" w:rsidRDefault="00F26B81" w:rsidP="00B22D37">
      <w:pPr>
        <w:spacing w:before="240"/>
        <w:ind w:left="720" w:hanging="720"/>
        <w:rPr>
          <w:rFonts w:cs="Arial"/>
          <w:b/>
        </w:rPr>
      </w:pPr>
    </w:p>
    <w:p w14:paraId="57D6FBBC" w14:textId="6FF0CFE0" w:rsidR="0046702E" w:rsidRPr="009F6445" w:rsidRDefault="001B13AE" w:rsidP="00B22D37">
      <w:pPr>
        <w:spacing w:before="240"/>
        <w:ind w:left="720" w:hanging="720"/>
        <w:rPr>
          <w:rFonts w:cs="Arial"/>
          <w:b/>
        </w:rPr>
      </w:pPr>
      <w:r w:rsidRPr="009F6445">
        <w:rPr>
          <w:rFonts w:cs="Arial"/>
          <w:b/>
        </w:rPr>
        <w:t>1</w:t>
      </w:r>
      <w:r w:rsidR="00FD308D" w:rsidRPr="009F6445">
        <w:rPr>
          <w:rFonts w:cs="Arial"/>
          <w:b/>
        </w:rPr>
        <w:t>9</w:t>
      </w:r>
      <w:r w:rsidRPr="009F6445">
        <w:rPr>
          <w:rFonts w:cs="Arial"/>
          <w:b/>
        </w:rPr>
        <w:t>.3</w:t>
      </w:r>
      <w:r w:rsidRPr="009F6445">
        <w:rPr>
          <w:rFonts w:cs="Arial"/>
          <w:b/>
        </w:rPr>
        <w:tab/>
      </w:r>
      <w:r w:rsidR="0046702E" w:rsidRPr="009F6445">
        <w:rPr>
          <w:rFonts w:cs="Arial"/>
          <w:b/>
        </w:rPr>
        <w:t>Información sobre medioambiente</w:t>
      </w:r>
    </w:p>
    <w:p w14:paraId="6D843EE0" w14:textId="76B10FD2" w:rsidR="00AF051B" w:rsidRDefault="0046702E" w:rsidP="005803E0">
      <w:pPr>
        <w:spacing w:before="240"/>
        <w:rPr>
          <w:rFonts w:cs="Arial"/>
        </w:rPr>
      </w:pPr>
      <w:r w:rsidRPr="009F6445">
        <w:rPr>
          <w:rFonts w:cs="Arial"/>
        </w:rPr>
        <w:t>Los Administradores de la Sociedad estiman que no existen contingencias significativas relativas a la protección y mejora del medio ambiente</w:t>
      </w:r>
      <w:r w:rsidR="00F77B99" w:rsidRPr="009F6445">
        <w:rPr>
          <w:rFonts w:cs="Arial"/>
        </w:rPr>
        <w:t xml:space="preserve"> que deba ser incluida en documento aparte de información medioambiental </w:t>
      </w:r>
      <w:r w:rsidR="00387012" w:rsidRPr="009F6445">
        <w:rPr>
          <w:rFonts w:cs="Arial"/>
        </w:rPr>
        <w:t>prevista</w:t>
      </w:r>
      <w:r w:rsidR="00F77B99" w:rsidRPr="009F6445">
        <w:rPr>
          <w:rFonts w:cs="Arial"/>
        </w:rPr>
        <w:t xml:space="preserve"> en la Orden del Ministerio de Justicia de 8 de octubre de 2001</w:t>
      </w:r>
      <w:r w:rsidRPr="009F6445">
        <w:rPr>
          <w:rFonts w:cs="Arial"/>
        </w:rPr>
        <w:t>, no considerando necesario registrar provisión alguna en tal sentido.</w:t>
      </w:r>
    </w:p>
    <w:p w14:paraId="41BBE224" w14:textId="77777777" w:rsidR="00EB67D9" w:rsidRPr="0095214F" w:rsidRDefault="002F3168" w:rsidP="005803E0">
      <w:pPr>
        <w:spacing w:before="240"/>
        <w:rPr>
          <w:rFonts w:cs="Arial"/>
          <w:b/>
          <w:iCs/>
          <w:szCs w:val="20"/>
        </w:rPr>
      </w:pPr>
      <w:r w:rsidRPr="0095214F">
        <w:rPr>
          <w:rFonts w:cs="Arial"/>
          <w:b/>
        </w:rPr>
        <w:t>19.4</w:t>
      </w:r>
      <w:r w:rsidRPr="0095214F">
        <w:rPr>
          <w:rFonts w:cs="Arial"/>
          <w:b/>
        </w:rPr>
        <w:tab/>
        <w:t xml:space="preserve">Información </w:t>
      </w:r>
      <w:r w:rsidR="00D61971" w:rsidRPr="0095214F">
        <w:rPr>
          <w:rFonts w:cs="Arial"/>
          <w:b/>
        </w:rPr>
        <w:t>sobre el período medio de pago a proveedores. Disposición adicional tercera. “Deber de información” de la Ley 15/2010, de 5 de julio</w:t>
      </w:r>
      <w:r w:rsidRPr="0095214F">
        <w:rPr>
          <w:rFonts w:cs="Arial"/>
          <w:b/>
          <w:iCs/>
          <w:szCs w:val="20"/>
        </w:rPr>
        <w:t xml:space="preserve">. </w:t>
      </w:r>
    </w:p>
    <w:p w14:paraId="5FDF57A4" w14:textId="5CF470EC" w:rsidR="002D0ED6" w:rsidRDefault="002D0ED6" w:rsidP="00045CE2">
      <w:pPr>
        <w:spacing w:before="240"/>
        <w:rPr>
          <w:rFonts w:cs="Arial"/>
          <w:lang w:val="es-ES"/>
        </w:rPr>
      </w:pPr>
      <w:r w:rsidRPr="00840D4A">
        <w:rPr>
          <w:rFonts w:cs="Arial"/>
        </w:rPr>
        <w:t xml:space="preserve">La información relativa al período medio de pago a proveedores </w:t>
      </w:r>
      <w:r w:rsidR="00045CE2" w:rsidRPr="00840D4A">
        <w:rPr>
          <w:rFonts w:cs="Arial"/>
        </w:rPr>
        <w:t>en</w:t>
      </w:r>
      <w:r w:rsidR="00045CE2" w:rsidRPr="00840D4A">
        <w:rPr>
          <w:rFonts w:cs="Arial"/>
          <w:lang w:val="es-ES"/>
        </w:rPr>
        <w:t xml:space="preserve"> operaciones comerciales se presenta de acuerdo con lo establecido en la disposici</w:t>
      </w:r>
      <w:r w:rsidR="00045CE2" w:rsidRPr="00840D4A">
        <w:rPr>
          <w:rFonts w:cs="Arial" w:hint="eastAsia"/>
          <w:lang w:val="es-ES"/>
        </w:rPr>
        <w:t>ó</w:t>
      </w:r>
      <w:r w:rsidR="00045CE2" w:rsidRPr="00840D4A">
        <w:rPr>
          <w:rFonts w:cs="Arial"/>
          <w:lang w:val="es-ES"/>
        </w:rPr>
        <w:t>n adicional tercera de la Ley 15/2010 de 5 de julio, y sus modificaciones posteriores, y conforme a la resoluci</w:t>
      </w:r>
      <w:r w:rsidR="00045CE2" w:rsidRPr="00840D4A">
        <w:rPr>
          <w:rFonts w:cs="Arial" w:hint="eastAsia"/>
          <w:lang w:val="es-ES"/>
        </w:rPr>
        <w:t>ó</w:t>
      </w:r>
      <w:r w:rsidR="00045CE2" w:rsidRPr="00840D4A">
        <w:rPr>
          <w:rFonts w:cs="Arial"/>
          <w:lang w:val="es-ES"/>
        </w:rPr>
        <w:t>n del Instituto de Contabilidad y Auditor</w:t>
      </w:r>
      <w:r w:rsidR="00045CE2" w:rsidRPr="00840D4A">
        <w:rPr>
          <w:rFonts w:cs="Arial" w:hint="eastAsia"/>
          <w:lang w:val="es-ES"/>
        </w:rPr>
        <w:t>í</w:t>
      </w:r>
      <w:r w:rsidR="00045CE2" w:rsidRPr="00840D4A">
        <w:rPr>
          <w:rFonts w:cs="Arial"/>
          <w:lang w:val="es-ES"/>
        </w:rPr>
        <w:t>a de Cuentas.</w:t>
      </w:r>
    </w:p>
    <w:p w14:paraId="2752650D" w14:textId="23EA0E83" w:rsidR="00424107" w:rsidRDefault="000C06D5" w:rsidP="00424107">
      <w:pPr>
        <w:spacing w:before="240"/>
        <w:jc w:val="center"/>
        <w:rPr>
          <w:rFonts w:cs="Arial"/>
          <w:lang w:val="es-ES"/>
        </w:rPr>
      </w:pPr>
      <w:r>
        <w:rPr>
          <w:rFonts w:cs="Arial"/>
          <w:lang w:val="es-ES"/>
        </w:rPr>
        <w:fldChar w:fldCharType="begin"/>
      </w:r>
      <w:r>
        <w:rPr>
          <w:rFonts w:cs="Arial"/>
          <w:lang w:val="es-ES"/>
        </w:rPr>
        <w:instrText xml:space="preserve"> LINK Excel.Sheet.12 "C:\\Users\\josejimman\\Documents\\JOSE MARIA JIMENEZ\\2 FINANCIERO\\CIERRES\\2024\\CUENTAS ANUALES 2024\\pmp.xlsx!Hoja1!F1C1:F16C3" "" \a \p \* MERGEFORMAT </w:instrText>
      </w:r>
      <w:r>
        <w:rPr>
          <w:rFonts w:cs="Arial"/>
          <w:lang w:val="es-ES"/>
        </w:rPr>
        <w:fldChar w:fldCharType="separate"/>
      </w:r>
      <w:r>
        <w:rPr>
          <w:rFonts w:cs="Arial"/>
          <w:lang w:val="es-ES"/>
        </w:rPr>
        <w:object w:dxaOrig="7515" w:dyaOrig="4335" w14:anchorId="37A26F0B">
          <v:shape id="_x0000_i1067" type="#_x0000_t75" style="width:382.45pt;height:207.6pt" o:ole="">
            <v:imagedata r:id="rId103" o:title=""/>
          </v:shape>
        </w:object>
      </w:r>
      <w:r>
        <w:rPr>
          <w:rFonts w:cs="Arial"/>
          <w:lang w:val="es-ES"/>
        </w:rPr>
        <w:fldChar w:fldCharType="end"/>
      </w:r>
    </w:p>
    <w:p w14:paraId="30A6A3D4" w14:textId="77777777" w:rsidR="001562D9" w:rsidRDefault="001562D9" w:rsidP="0021346B">
      <w:pPr>
        <w:pStyle w:val="Standard"/>
        <w:jc w:val="both"/>
        <w:rPr>
          <w:rFonts w:ascii="Arial" w:hAnsi="Arial" w:cs="Arial"/>
          <w:b/>
          <w:sz w:val="20"/>
          <w:szCs w:val="20"/>
          <w:lang w:val="es-ES_tradnl"/>
        </w:rPr>
      </w:pPr>
      <w:bookmarkStart w:id="123" w:name="_Hlk63946944"/>
    </w:p>
    <w:p w14:paraId="6B4CBA8C" w14:textId="77777777" w:rsidR="001562D9" w:rsidRDefault="001562D9" w:rsidP="0021346B">
      <w:pPr>
        <w:pStyle w:val="Standard"/>
        <w:jc w:val="both"/>
        <w:rPr>
          <w:rFonts w:ascii="Arial" w:hAnsi="Arial" w:cs="Arial"/>
          <w:b/>
          <w:sz w:val="20"/>
          <w:szCs w:val="20"/>
          <w:lang w:val="es-ES_tradnl"/>
        </w:rPr>
      </w:pPr>
    </w:p>
    <w:p w14:paraId="705D6927" w14:textId="799D6ABE" w:rsidR="0021346B" w:rsidRPr="00CD4E22" w:rsidRDefault="0021346B" w:rsidP="0021346B">
      <w:pPr>
        <w:pStyle w:val="Standard"/>
        <w:jc w:val="both"/>
        <w:rPr>
          <w:rFonts w:ascii="Arial" w:hAnsi="Arial" w:cs="Arial"/>
          <w:b/>
          <w:iCs/>
          <w:sz w:val="20"/>
          <w:szCs w:val="20"/>
          <w:lang w:val="es-ES_tradnl"/>
        </w:rPr>
      </w:pPr>
      <w:r w:rsidRPr="000827CC">
        <w:rPr>
          <w:rFonts w:ascii="Arial" w:hAnsi="Arial" w:cs="Arial"/>
          <w:b/>
          <w:sz w:val="20"/>
          <w:szCs w:val="20"/>
          <w:lang w:val="es-ES_tradnl"/>
        </w:rPr>
        <w:lastRenderedPageBreak/>
        <w:t>19.</w:t>
      </w:r>
      <w:r w:rsidR="00EF3378" w:rsidRPr="000827CC">
        <w:rPr>
          <w:rFonts w:ascii="Arial" w:hAnsi="Arial" w:cs="Arial"/>
          <w:b/>
          <w:sz w:val="20"/>
          <w:szCs w:val="20"/>
          <w:lang w:val="es-ES_tradnl"/>
        </w:rPr>
        <w:t>5</w:t>
      </w:r>
      <w:r w:rsidRPr="000827CC">
        <w:rPr>
          <w:rFonts w:ascii="Arial" w:hAnsi="Arial" w:cs="Arial"/>
          <w:b/>
          <w:sz w:val="20"/>
          <w:szCs w:val="20"/>
          <w:lang w:val="es-ES_tradnl"/>
        </w:rPr>
        <w:tab/>
        <w:t>In</w:t>
      </w:r>
      <w:r w:rsidR="00FD4BC7" w:rsidRPr="000827CC">
        <w:rPr>
          <w:rFonts w:ascii="Arial" w:hAnsi="Arial" w:cs="Arial"/>
          <w:b/>
          <w:sz w:val="20"/>
          <w:szCs w:val="20"/>
          <w:lang w:val="es-ES_tradnl"/>
        </w:rPr>
        <w:t xml:space="preserve">formación sobre el indicador </w:t>
      </w:r>
      <w:r w:rsidRPr="000827CC">
        <w:rPr>
          <w:rFonts w:ascii="Arial" w:hAnsi="Arial" w:cs="Arial"/>
          <w:b/>
          <w:iCs/>
          <w:sz w:val="20"/>
          <w:szCs w:val="20"/>
          <w:lang w:val="es-ES_tradnl"/>
        </w:rPr>
        <w:t xml:space="preserve">para el cálculo de porcentaje de actividades llevadas a cabo en el ejercicio </w:t>
      </w:r>
      <w:bookmarkEnd w:id="123"/>
      <w:r w:rsidRPr="000827CC">
        <w:rPr>
          <w:rFonts w:ascii="Arial" w:hAnsi="Arial" w:cs="Arial"/>
          <w:b/>
          <w:iCs/>
          <w:sz w:val="20"/>
          <w:szCs w:val="20"/>
          <w:lang w:val="es-ES_tradnl"/>
        </w:rPr>
        <w:t>de los cometidos que le han sido confiados por los poderes adjudicadores que lo controlan o por personas jurídicas controladas por los mismos</w:t>
      </w:r>
      <w:r w:rsidR="00FD4BC7" w:rsidRPr="000827CC">
        <w:rPr>
          <w:rFonts w:ascii="Arial" w:hAnsi="Arial" w:cs="Arial"/>
          <w:b/>
          <w:iCs/>
          <w:sz w:val="20"/>
          <w:szCs w:val="20"/>
          <w:lang w:val="es-ES_tradnl"/>
        </w:rPr>
        <w:t>, en virtud del art. 32.2.b de la LCSP</w:t>
      </w:r>
      <w:r w:rsidRPr="000827CC">
        <w:rPr>
          <w:rFonts w:ascii="Arial" w:hAnsi="Arial" w:cs="Arial"/>
          <w:b/>
          <w:iCs/>
          <w:sz w:val="20"/>
          <w:szCs w:val="20"/>
          <w:lang w:val="es-ES_tradnl"/>
        </w:rPr>
        <w:t>.</w:t>
      </w:r>
    </w:p>
    <w:p w14:paraId="4A97E4A5" w14:textId="77777777" w:rsidR="0021346B" w:rsidRPr="00CD4E22" w:rsidRDefault="0021346B" w:rsidP="0021346B">
      <w:pPr>
        <w:pStyle w:val="Standard"/>
        <w:rPr>
          <w:rFonts w:ascii="Arial" w:hAnsi="Arial" w:cs="Arial"/>
          <w:sz w:val="20"/>
          <w:szCs w:val="20"/>
          <w:lang w:val="es-ES_tradnl"/>
        </w:rPr>
      </w:pPr>
    </w:p>
    <w:p w14:paraId="402B61F0" w14:textId="77777777" w:rsidR="00EF3378" w:rsidRPr="00EE45E5" w:rsidRDefault="00EF3378" w:rsidP="00EF3378">
      <w:pPr>
        <w:pStyle w:val="Standard"/>
        <w:jc w:val="both"/>
        <w:rPr>
          <w:rFonts w:ascii="Arial" w:hAnsi="Arial" w:cs="Arial"/>
          <w:sz w:val="20"/>
          <w:szCs w:val="20"/>
        </w:rPr>
      </w:pPr>
      <w:r w:rsidRPr="00EE45E5">
        <w:rPr>
          <w:rFonts w:ascii="Arial" w:hAnsi="Arial" w:cs="Arial"/>
          <w:sz w:val="20"/>
          <w:szCs w:val="20"/>
        </w:rPr>
        <w:t>En sesión celebrada el 18 de diciembre de 2020, el Gobierno de Canarias acuerda atribuir funciones de promoción y desarrollo de la comercialización de productos locales a la empresa pública “Gestión del Medio Rural de Canarias. S.A.U”, en los siguientes términos:</w:t>
      </w:r>
    </w:p>
    <w:p w14:paraId="5B58FF6A" w14:textId="77777777" w:rsidR="00EF3378" w:rsidRPr="00EE45E5" w:rsidRDefault="00EF3378" w:rsidP="00EF3378">
      <w:pPr>
        <w:pStyle w:val="Standard"/>
        <w:jc w:val="both"/>
        <w:rPr>
          <w:rFonts w:ascii="Arial" w:hAnsi="Arial" w:cs="Arial"/>
          <w:sz w:val="20"/>
          <w:szCs w:val="20"/>
        </w:rPr>
      </w:pPr>
    </w:p>
    <w:p w14:paraId="004B6D70"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“1. Se atribuye a la sociedad mercantil pública Gestión del Medio Rural de Canarias, S.A.U, en el marco de las competencias autonómicas en materia de agricultura, ganadería y pesca, la función de promover y desarrollar la comercialización de productos locales, en particular, facilitando el acceso de los productores locales a los mercados mediante, entre otras vías, la concentración de la oferta, en especial de aquellos operadores primarios que carecen de la dimensión y volumen suficientes para acceder a esos mercados. Esta atribución se realiza sin perjuicio de cualesquiera otras acciones públicas en funcionamiento o que más adelante se puedan tomar en orden a la consecución de esos fines públicos.</w:t>
      </w:r>
    </w:p>
    <w:p w14:paraId="68B212B0" w14:textId="77777777" w:rsidR="00EF3378" w:rsidRPr="00EE45E5" w:rsidRDefault="00EF3378" w:rsidP="00EF3378">
      <w:pPr>
        <w:pStyle w:val="Standard"/>
        <w:jc w:val="both"/>
        <w:rPr>
          <w:rFonts w:ascii="Arial" w:hAnsi="Arial" w:cs="Arial"/>
          <w:i/>
          <w:iCs/>
          <w:sz w:val="20"/>
          <w:szCs w:val="20"/>
        </w:rPr>
      </w:pPr>
    </w:p>
    <w:p w14:paraId="1283E234"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2. La función que se atribuye se ejercerá por Gestión del Medio Rural de Canarias, S.A.U. bajo el control y supervisión de la Consejería competente en materia de agricultura, ganadería y pesca, de acuerdo con las instrucciones específicas recibidas que serán de obligado cumplimiento, y sin perjuicio de las facultades que corresponden al Gobierno de Canarias, a la Consejería competente en materia de Hacienda y a la Intervención General, de acuerdo con lo establecido en la legislación del patrimonio de la Comunidad Autónoma de Canarias.</w:t>
      </w:r>
    </w:p>
    <w:p w14:paraId="688994D8" w14:textId="77777777" w:rsidR="00EF3378" w:rsidRPr="00EE45E5" w:rsidRDefault="00EF3378" w:rsidP="00EF3378">
      <w:pPr>
        <w:pStyle w:val="Standard"/>
        <w:jc w:val="both"/>
        <w:rPr>
          <w:rFonts w:ascii="Arial" w:hAnsi="Arial" w:cs="Arial"/>
          <w:i/>
          <w:iCs/>
          <w:sz w:val="20"/>
          <w:szCs w:val="20"/>
        </w:rPr>
      </w:pPr>
    </w:p>
    <w:p w14:paraId="012005E7"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3. Para el ejercicio de la función que se atribuye, se transferirán a Gestión del Medio Rural de Canarias, S.A.U. los recursos económicos precisos, de conformidad con lo que disponga la legislación presupuestaria.</w:t>
      </w:r>
    </w:p>
    <w:p w14:paraId="448F23D1" w14:textId="77777777" w:rsidR="00EF3378" w:rsidRPr="00EE45E5" w:rsidRDefault="00EF3378" w:rsidP="00EF3378">
      <w:pPr>
        <w:pStyle w:val="Standard"/>
        <w:jc w:val="both"/>
        <w:rPr>
          <w:rFonts w:ascii="Arial" w:hAnsi="Arial" w:cs="Arial"/>
          <w:i/>
          <w:iCs/>
          <w:sz w:val="20"/>
          <w:szCs w:val="20"/>
        </w:rPr>
      </w:pPr>
    </w:p>
    <w:p w14:paraId="425DEBE8"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4. Por Gestión del Medio Rural de Canarias, S.A.U. se procederá a modificar los estatutos sociales con el fin de actualizar, clarificar y ajustar su objeto social a las tareas que le corresponden de conformidad con el presente Acuerdo. Esta adaptación deberá producirse en el plazo de un año, salvo que circunstancias externas a la sociedad demoraran la tramitación, cuya valoración se encomienda a la titular de la Consejería de Agricultura, Ganadería y Pesca.”</w:t>
      </w:r>
    </w:p>
    <w:p w14:paraId="28300690" w14:textId="77777777" w:rsidR="00EF3378" w:rsidRPr="00EE45E5" w:rsidRDefault="00EF3378" w:rsidP="00EF3378">
      <w:pPr>
        <w:pStyle w:val="Standard"/>
        <w:jc w:val="both"/>
        <w:rPr>
          <w:rFonts w:ascii="Arial" w:hAnsi="Arial" w:cs="Arial"/>
          <w:i/>
          <w:iCs/>
          <w:sz w:val="20"/>
          <w:szCs w:val="20"/>
        </w:rPr>
      </w:pPr>
    </w:p>
    <w:p w14:paraId="55788FA3" w14:textId="77777777" w:rsidR="00EF3378" w:rsidRPr="00EE45E5" w:rsidRDefault="00EF3378" w:rsidP="00EF3378">
      <w:pPr>
        <w:pStyle w:val="Standard"/>
        <w:jc w:val="both"/>
        <w:rPr>
          <w:rFonts w:cs="Arial"/>
          <w:szCs w:val="20"/>
          <w:lang w:val="es-ES_tradnl"/>
        </w:rPr>
      </w:pPr>
      <w:r w:rsidRPr="00EE45E5">
        <w:rPr>
          <w:rFonts w:ascii="Arial" w:hAnsi="Arial" w:cs="Arial"/>
          <w:sz w:val="20"/>
          <w:szCs w:val="20"/>
        </w:rPr>
        <w:t>En virtud del acuerdo se considera la actividad de comercio al mayor de la Sociedad, es decir, todas las compras y ventas de producto que comercializa, como una función realizada por encargo de la Administración Autonómica Canaria, a los efectos de dar cumplimiento a la regla 80/20 conforme a lo previsto en el artículo 32.2 b) de la LCSP, considerándose todas las operaciones de venta de producto bajo la atribución mencionada en el citado acuerdo y, por lo tanto, incluido en el porcentaje de actividad realizada como medio propio del poder adjudicador.</w:t>
      </w:r>
    </w:p>
    <w:p w14:paraId="0D2B4B71" w14:textId="77777777" w:rsidR="00EF3378" w:rsidRPr="00EE45E5" w:rsidRDefault="00EF3378" w:rsidP="00EF3378">
      <w:pPr>
        <w:pStyle w:val="Standard"/>
        <w:jc w:val="both"/>
        <w:rPr>
          <w:rFonts w:cs="Arial"/>
          <w:szCs w:val="20"/>
          <w:lang w:val="es-ES_tradnl"/>
        </w:rPr>
      </w:pPr>
    </w:p>
    <w:p w14:paraId="50F9DEC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Tal y como se indica en la Nota 1 anterior, los estatutos sociales se han modificado para cumplir con lo establecido en este acuerdo.</w:t>
      </w:r>
    </w:p>
    <w:p w14:paraId="1CE36E8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 xml:space="preserve"> </w:t>
      </w:r>
    </w:p>
    <w:p w14:paraId="5C12FCEA" w14:textId="77777777" w:rsidR="00EF3378" w:rsidRPr="00CD4E22"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Más del 80 por ciento de las actividades de la Sociedad se llevan a cabo en el ejercicio de los</w:t>
      </w:r>
      <w:r w:rsidRPr="00CD4E22">
        <w:rPr>
          <w:rFonts w:ascii="Arial" w:hAnsi="Arial" w:cs="Arial"/>
          <w:sz w:val="20"/>
          <w:szCs w:val="20"/>
          <w:lang w:val="es-ES_tradnl"/>
        </w:rPr>
        <w:t xml:space="preserve"> cometidos que le han sido confiados por el poder adjudicador que le hace el encargo y la controla </w:t>
      </w:r>
      <w:r>
        <w:rPr>
          <w:rFonts w:ascii="Arial" w:hAnsi="Arial" w:cs="Arial"/>
          <w:sz w:val="20"/>
          <w:szCs w:val="20"/>
          <w:lang w:val="es-ES_tradnl"/>
        </w:rPr>
        <w:t xml:space="preserve">directamente </w:t>
      </w:r>
      <w:r w:rsidRPr="00CD4E22">
        <w:rPr>
          <w:rFonts w:ascii="Arial" w:hAnsi="Arial" w:cs="Arial"/>
          <w:sz w:val="20"/>
          <w:szCs w:val="20"/>
          <w:lang w:val="es-ES_tradnl"/>
        </w:rPr>
        <w:t xml:space="preserve">o </w:t>
      </w:r>
      <w:r>
        <w:rPr>
          <w:rFonts w:ascii="Arial" w:hAnsi="Arial" w:cs="Arial"/>
          <w:sz w:val="20"/>
          <w:szCs w:val="20"/>
          <w:lang w:val="es-ES_tradnl"/>
        </w:rPr>
        <w:t xml:space="preserve">a través de </w:t>
      </w:r>
      <w:r w:rsidRPr="00CD4E22">
        <w:rPr>
          <w:rFonts w:ascii="Arial" w:hAnsi="Arial" w:cs="Arial"/>
          <w:sz w:val="20"/>
          <w:szCs w:val="20"/>
          <w:lang w:val="es-ES_tradnl"/>
        </w:rPr>
        <w:t>otros entes controlados por el mismo.</w:t>
      </w:r>
    </w:p>
    <w:p w14:paraId="5F7D83BC" w14:textId="77777777" w:rsidR="00EF3378" w:rsidRPr="00CD4E22" w:rsidRDefault="00EF3378" w:rsidP="00EF3378">
      <w:pPr>
        <w:pStyle w:val="Standard"/>
        <w:jc w:val="both"/>
        <w:rPr>
          <w:rFonts w:ascii="Arial" w:hAnsi="Arial" w:cs="Arial"/>
          <w:sz w:val="20"/>
          <w:szCs w:val="20"/>
          <w:lang w:val="es-ES_tradnl"/>
        </w:rPr>
      </w:pPr>
    </w:p>
    <w:p w14:paraId="6D339E42" w14:textId="77777777" w:rsidR="00EF3378" w:rsidRPr="00CD4E22" w:rsidRDefault="00EF3378" w:rsidP="00EF3378">
      <w:pPr>
        <w:pStyle w:val="Standard"/>
        <w:jc w:val="both"/>
        <w:rPr>
          <w:rFonts w:ascii="Arial" w:hAnsi="Arial" w:cs="Arial"/>
          <w:sz w:val="20"/>
          <w:szCs w:val="20"/>
          <w:lang w:val="es-ES_tradnl"/>
        </w:rPr>
      </w:pPr>
      <w:r w:rsidRPr="00CD4E22">
        <w:rPr>
          <w:rFonts w:ascii="Arial" w:hAnsi="Arial" w:cs="Arial"/>
          <w:sz w:val="20"/>
          <w:szCs w:val="20"/>
          <w:lang w:val="es-ES_tradnl"/>
        </w:rPr>
        <w:t>Para determinar este porcentaje se establece como indicador el promedio del volumen global de negocios que en la Sociedad está formado, por un</w:t>
      </w:r>
      <w:r>
        <w:rPr>
          <w:rFonts w:ascii="Arial" w:hAnsi="Arial" w:cs="Arial"/>
          <w:sz w:val="20"/>
          <w:szCs w:val="20"/>
          <w:lang w:val="es-ES_tradnl"/>
        </w:rPr>
        <w:t>a</w:t>
      </w:r>
      <w:r w:rsidRPr="00CD4E22">
        <w:rPr>
          <w:rFonts w:ascii="Arial" w:hAnsi="Arial" w:cs="Arial"/>
          <w:sz w:val="20"/>
          <w:szCs w:val="20"/>
          <w:lang w:val="es-ES_tradnl"/>
        </w:rPr>
        <w:t xml:space="preserve"> parte, por la prestación de servicios realizada al poder adjudicador bajo la figura de encargos y, por otra, por las ventas derivadas de </w:t>
      </w:r>
      <w:r w:rsidRPr="00CD4E22">
        <w:rPr>
          <w:rFonts w:ascii="Arial" w:hAnsi="Arial" w:cs="Arial"/>
          <w:i/>
          <w:iCs/>
          <w:sz w:val="20"/>
          <w:szCs w:val="20"/>
          <w:lang w:val="es-ES_tradnl"/>
        </w:rPr>
        <w:t xml:space="preserve">“(…) la función de promover y desarrollar la comercialización de productos locales, en particular, facilitando el acceso de los productores locales a los mercados mediante, entre otras vías, la concentración de la oferta (…)”, </w:t>
      </w:r>
      <w:r w:rsidRPr="00CD4E22">
        <w:rPr>
          <w:rFonts w:ascii="Arial" w:hAnsi="Arial" w:cs="Arial"/>
          <w:sz w:val="20"/>
          <w:szCs w:val="20"/>
          <w:lang w:val="es-ES_tradnl"/>
        </w:rPr>
        <w:t xml:space="preserve">que </w:t>
      </w:r>
      <w:r>
        <w:rPr>
          <w:rFonts w:ascii="Arial" w:hAnsi="Arial" w:cs="Arial"/>
          <w:sz w:val="20"/>
          <w:szCs w:val="20"/>
          <w:lang w:val="es-ES_tradnl"/>
        </w:rPr>
        <w:t xml:space="preserve">la Sociedad </w:t>
      </w:r>
      <w:r w:rsidRPr="00CD4E22">
        <w:rPr>
          <w:rFonts w:ascii="Arial" w:hAnsi="Arial" w:cs="Arial"/>
          <w:sz w:val="20"/>
          <w:szCs w:val="20"/>
          <w:lang w:val="es-ES_tradnl"/>
        </w:rPr>
        <w:t>realiza bajo la actividad del comercio al mayor de producto alimentarios.</w:t>
      </w:r>
    </w:p>
    <w:p w14:paraId="704B3772" w14:textId="77777777" w:rsidR="00EF3378" w:rsidRPr="00CD4E22" w:rsidRDefault="00EF3378" w:rsidP="00EF3378">
      <w:pPr>
        <w:pStyle w:val="Standard"/>
        <w:jc w:val="both"/>
        <w:rPr>
          <w:rFonts w:ascii="Arial" w:hAnsi="Arial" w:cs="Arial"/>
          <w:sz w:val="20"/>
          <w:szCs w:val="20"/>
          <w:lang w:val="es-ES_tradnl"/>
        </w:rPr>
      </w:pPr>
    </w:p>
    <w:p w14:paraId="109AF8CB" w14:textId="77777777" w:rsidR="00EF3378" w:rsidRPr="0018780E" w:rsidRDefault="00EF3378" w:rsidP="00EF3378">
      <w:pPr>
        <w:pStyle w:val="Standard"/>
        <w:jc w:val="both"/>
        <w:rPr>
          <w:rFonts w:ascii="Arial" w:hAnsi="Arial" w:cs="Arial"/>
          <w:i/>
          <w:iCs/>
          <w:color w:val="FF0000"/>
          <w:sz w:val="20"/>
          <w:szCs w:val="20"/>
        </w:rPr>
      </w:pPr>
      <w:r w:rsidRPr="00CD4E22">
        <w:rPr>
          <w:rFonts w:ascii="Arial" w:hAnsi="Arial" w:cs="Arial"/>
          <w:sz w:val="20"/>
          <w:szCs w:val="20"/>
          <w:lang w:val="es-ES_tradnl"/>
        </w:rPr>
        <w:lastRenderedPageBreak/>
        <w:t xml:space="preserve">Esta última actividad, que viene realizando la Sociedad desde su constitución, ha sido formalizada mediante el acuerdo del Gobierno de Canarias, en su sesión celebrada el 18 de diciembre de 2020, por lo que, para aplicar la regla 80/20, se incluye la actividad comercial en </w:t>
      </w:r>
      <w:r>
        <w:rPr>
          <w:rFonts w:ascii="Arial" w:hAnsi="Arial" w:cs="Arial"/>
          <w:sz w:val="20"/>
          <w:szCs w:val="20"/>
          <w:lang w:val="es-ES_tradnl"/>
        </w:rPr>
        <w:t>el numerador de la citada regla</w:t>
      </w:r>
      <w:r w:rsidRPr="00CD4E22">
        <w:rPr>
          <w:rFonts w:ascii="Arial" w:hAnsi="Arial" w:cs="Arial"/>
          <w:sz w:val="20"/>
          <w:szCs w:val="20"/>
          <w:lang w:val="es-ES_tradnl"/>
        </w:rPr>
        <w:t xml:space="preserve">, correspondiente a las actividades desarrollados en ejercicio de “cometidos confiados por el poder adjudicador”. </w:t>
      </w:r>
    </w:p>
    <w:p w14:paraId="24473846" w14:textId="77777777" w:rsidR="00EF3378" w:rsidRPr="00CD4E22" w:rsidRDefault="00EF3378" w:rsidP="00EF3378">
      <w:pPr>
        <w:pStyle w:val="Standard"/>
        <w:jc w:val="both"/>
        <w:rPr>
          <w:rFonts w:ascii="Arial" w:hAnsi="Arial" w:cs="Arial"/>
          <w:sz w:val="20"/>
          <w:szCs w:val="20"/>
          <w:lang w:val="es-ES_tradnl"/>
        </w:rPr>
      </w:pPr>
    </w:p>
    <w:p w14:paraId="5B469591" w14:textId="77777777" w:rsidR="00EF3378" w:rsidRPr="00B75E03" w:rsidRDefault="00EF3378" w:rsidP="00EF3378">
      <w:pPr>
        <w:pStyle w:val="Standard"/>
        <w:jc w:val="both"/>
        <w:rPr>
          <w:rFonts w:ascii="Arial" w:hAnsi="Arial" w:cs="Arial"/>
          <w:sz w:val="20"/>
          <w:szCs w:val="20"/>
          <w:lang w:val="es-ES_tradnl"/>
        </w:rPr>
      </w:pPr>
      <w:r w:rsidRPr="00B75E03">
        <w:rPr>
          <w:rFonts w:ascii="Arial" w:hAnsi="Arial" w:cs="Arial"/>
          <w:sz w:val="20"/>
          <w:szCs w:val="20"/>
          <w:lang w:val="es-ES_tradnl"/>
        </w:rPr>
        <w:t>Teniendo en cuenta lo anterior, se desglosa el importe de la cifra de negocios detallando las ventas y prestaciones de servicios realizadas en el ejercicio de los cometidos confiados por el poder adjudicador:</w:t>
      </w:r>
    </w:p>
    <w:p w14:paraId="0CDD3A8E" w14:textId="77777777" w:rsidR="005C614A" w:rsidRPr="00B75E03" w:rsidRDefault="005C614A" w:rsidP="0021346B">
      <w:pPr>
        <w:pStyle w:val="Standard"/>
        <w:jc w:val="both"/>
        <w:rPr>
          <w:rFonts w:cs="Arial"/>
          <w:b/>
          <w:bCs/>
          <w:szCs w:val="20"/>
          <w:lang w:val="es-ES_tradnl"/>
        </w:rPr>
      </w:pPr>
    </w:p>
    <w:bookmarkStart w:id="124" w:name="_MON_1676437593"/>
    <w:bookmarkEnd w:id="124"/>
    <w:p w14:paraId="1E1C1A67" w14:textId="7E09F7BB" w:rsidR="005C614A" w:rsidRPr="000D03B5" w:rsidRDefault="00FC71E2" w:rsidP="00EC0027">
      <w:pPr>
        <w:pStyle w:val="Standard"/>
        <w:jc w:val="center"/>
        <w:rPr>
          <w:rFonts w:cs="Arial"/>
          <w:b/>
          <w:bCs/>
          <w:szCs w:val="20"/>
          <w:lang w:val="es-ES_tradnl"/>
        </w:rPr>
      </w:pPr>
      <w:r w:rsidRPr="00B75E03">
        <w:rPr>
          <w:rFonts w:cs="Arial"/>
          <w:b/>
          <w:bCs/>
          <w:szCs w:val="20"/>
          <w:lang w:val="es-ES_tradnl"/>
        </w:rPr>
        <w:object w:dxaOrig="11271" w:dyaOrig="6767" w14:anchorId="13DBF43E">
          <v:shape id="_x0000_i1068" type="#_x0000_t75" style="width:459.1pt;height:270.25pt" o:ole="">
            <v:imagedata r:id="rId104" o:title=""/>
          </v:shape>
          <o:OLEObject Type="Embed" ProgID="Excel.Sheet.12" ShapeID="_x0000_i1068" DrawAspect="Content" ObjectID="_1805087299" r:id="rId105"/>
        </w:object>
      </w:r>
    </w:p>
    <w:p w14:paraId="372D9977" w14:textId="77777777" w:rsidR="005C614A" w:rsidRPr="000D03B5" w:rsidRDefault="005C614A" w:rsidP="0021346B">
      <w:pPr>
        <w:pStyle w:val="Standard"/>
        <w:jc w:val="both"/>
        <w:rPr>
          <w:rFonts w:cs="Arial"/>
          <w:b/>
          <w:bCs/>
          <w:szCs w:val="20"/>
          <w:lang w:val="es-ES_tradnl"/>
        </w:rPr>
      </w:pPr>
    </w:p>
    <w:p w14:paraId="6B653EF9" w14:textId="6765EC7E" w:rsidR="00DD24DB" w:rsidRDefault="00156460" w:rsidP="0089124C">
      <w:pPr>
        <w:pStyle w:val="Standard"/>
        <w:jc w:val="both"/>
        <w:rPr>
          <w:rFonts w:ascii="Arial" w:hAnsi="Arial" w:cs="Arial"/>
          <w:sz w:val="20"/>
          <w:szCs w:val="20"/>
        </w:rPr>
      </w:pPr>
      <w:r w:rsidRPr="000D03B5">
        <w:rPr>
          <w:rFonts w:ascii="Arial" w:hAnsi="Arial" w:cs="Arial"/>
          <w:sz w:val="20"/>
          <w:szCs w:val="20"/>
        </w:rPr>
        <w:t>E</w:t>
      </w:r>
      <w:r w:rsidR="00DD24DB" w:rsidRPr="000D03B5">
        <w:rPr>
          <w:rFonts w:ascii="Arial" w:hAnsi="Arial" w:cs="Arial"/>
          <w:sz w:val="20"/>
          <w:szCs w:val="20"/>
        </w:rPr>
        <w:t>l Gobierno de Canarias</w:t>
      </w:r>
      <w:r w:rsidRPr="000D03B5">
        <w:rPr>
          <w:rFonts w:ascii="Arial" w:hAnsi="Arial" w:cs="Arial"/>
          <w:sz w:val="20"/>
          <w:szCs w:val="20"/>
        </w:rPr>
        <w:t>, en su sesión celebrada el</w:t>
      </w:r>
      <w:r w:rsidR="00DD24DB" w:rsidRPr="000D03B5">
        <w:rPr>
          <w:rFonts w:ascii="Arial" w:hAnsi="Arial" w:cs="Arial"/>
          <w:sz w:val="20"/>
          <w:szCs w:val="20"/>
        </w:rPr>
        <w:t xml:space="preserve"> 29 de diciembre de 2020, reconoció a </w:t>
      </w:r>
      <w:r w:rsidRPr="000D03B5">
        <w:rPr>
          <w:rFonts w:ascii="Arial" w:hAnsi="Arial" w:cs="Arial"/>
          <w:sz w:val="20"/>
          <w:szCs w:val="20"/>
        </w:rPr>
        <w:t xml:space="preserve">la Sociedad </w:t>
      </w:r>
      <w:r w:rsidR="00DD24DB" w:rsidRPr="000D03B5">
        <w:rPr>
          <w:rFonts w:ascii="Arial" w:hAnsi="Arial" w:cs="Arial"/>
          <w:sz w:val="20"/>
          <w:szCs w:val="20"/>
        </w:rPr>
        <w:t>la condición de medio propio personificado de la Administración Pública de la Comunidad Autónoma de Canarias.</w:t>
      </w:r>
      <w:r w:rsidR="00BD3737">
        <w:rPr>
          <w:rFonts w:ascii="Arial" w:hAnsi="Arial" w:cs="Arial"/>
          <w:sz w:val="20"/>
          <w:szCs w:val="20"/>
        </w:rPr>
        <w:t xml:space="preserve"> </w:t>
      </w:r>
      <w:r w:rsidR="0089124C">
        <w:rPr>
          <w:rFonts w:ascii="Arial" w:hAnsi="Arial" w:cs="Arial"/>
          <w:sz w:val="20"/>
          <w:szCs w:val="20"/>
        </w:rPr>
        <w:t>Asimismo, en sesión celebrada el 31 de julio de 2024, acordó incorporar el reconocimiento de la Sociedad como medio propio personificado del Cabildo Insular de Tenerife.</w:t>
      </w:r>
    </w:p>
    <w:p w14:paraId="44522897" w14:textId="77777777" w:rsidR="002E4146" w:rsidRPr="00433E30" w:rsidRDefault="00530A99" w:rsidP="002E4146">
      <w:pPr>
        <w:tabs>
          <w:tab w:val="left" w:pos="720"/>
        </w:tabs>
        <w:spacing w:before="600"/>
        <w:rPr>
          <w:rFonts w:cs="Arial"/>
        </w:rPr>
      </w:pPr>
      <w:r w:rsidRPr="0001610C">
        <w:rPr>
          <w:rFonts w:cs="Arial"/>
          <w:b/>
        </w:rPr>
        <w:t>2</w:t>
      </w:r>
      <w:r w:rsidR="009366AD" w:rsidRPr="0001610C">
        <w:rPr>
          <w:rFonts w:cs="Arial"/>
          <w:b/>
        </w:rPr>
        <w:t>0</w:t>
      </w:r>
      <w:r w:rsidR="002E4146" w:rsidRPr="0001610C">
        <w:rPr>
          <w:rFonts w:cs="Arial"/>
          <w:b/>
        </w:rPr>
        <w:t>.</w:t>
      </w:r>
      <w:r w:rsidR="002E4146" w:rsidRPr="0001610C">
        <w:rPr>
          <w:rFonts w:cs="Arial"/>
          <w:b/>
        </w:rPr>
        <w:tab/>
        <w:t>HECHOS POSTERIORES AL CIERRE</w:t>
      </w:r>
    </w:p>
    <w:p w14:paraId="58BE5C9C" w14:textId="77777777" w:rsidR="00267757" w:rsidRDefault="00267757" w:rsidP="00267757">
      <w:pPr>
        <w:pStyle w:val="Standard"/>
        <w:jc w:val="both"/>
        <w:rPr>
          <w:rFonts w:ascii="Arial" w:hAnsi="Arial" w:cs="Arial"/>
          <w:sz w:val="20"/>
          <w:szCs w:val="20"/>
        </w:rPr>
      </w:pPr>
      <w:bookmarkStart w:id="125" w:name="_Hlk35410976"/>
    </w:p>
    <w:p w14:paraId="2B6679C0" w14:textId="65EA9D5C" w:rsidR="00137DF7" w:rsidRDefault="00137DF7" w:rsidP="00267757">
      <w:pPr>
        <w:pStyle w:val="Standard"/>
        <w:jc w:val="both"/>
        <w:rPr>
          <w:rFonts w:ascii="Arial" w:hAnsi="Arial" w:cs="Arial"/>
          <w:sz w:val="20"/>
          <w:szCs w:val="20"/>
        </w:rPr>
      </w:pPr>
      <w:r>
        <w:rPr>
          <w:rFonts w:ascii="Arial" w:hAnsi="Arial" w:cs="Arial"/>
          <w:sz w:val="20"/>
          <w:szCs w:val="20"/>
        </w:rPr>
        <w:t>Con fecha 16 de enero de 2025 se ha recibido comunicación por parte del Instituto Canario de Calidad Agroalimentaria (ICCA) por la que se inicia el procedimiento de reintegro a la Sociedad</w:t>
      </w:r>
      <w:r w:rsidR="0093475D">
        <w:rPr>
          <w:rFonts w:ascii="Arial" w:hAnsi="Arial" w:cs="Arial"/>
          <w:sz w:val="20"/>
          <w:szCs w:val="20"/>
        </w:rPr>
        <w:t>,</w:t>
      </w:r>
      <w:r>
        <w:rPr>
          <w:rFonts w:ascii="Arial" w:hAnsi="Arial" w:cs="Arial"/>
          <w:sz w:val="20"/>
          <w:szCs w:val="20"/>
        </w:rPr>
        <w:t xml:space="preserve"> </w:t>
      </w:r>
      <w:r w:rsidR="0093475D">
        <w:rPr>
          <w:rFonts w:ascii="Arial" w:hAnsi="Arial" w:cs="Arial"/>
          <w:sz w:val="20"/>
          <w:szCs w:val="20"/>
        </w:rPr>
        <w:t xml:space="preserve">por importe de 144.486,56 euros, </w:t>
      </w:r>
      <w:r>
        <w:rPr>
          <w:rFonts w:ascii="Arial" w:hAnsi="Arial" w:cs="Arial"/>
          <w:sz w:val="20"/>
          <w:szCs w:val="20"/>
        </w:rPr>
        <w:t>sobre las ayudas pagadas durante el ejercicio financiero 2018, financiadas con cargo al Fondo Europeo Agrícola de Garantía (FEAGA) para la “Distribución de frutas y hortalizas y leche en centros escolares” y para la “Publicidad, seguimiento y evaluación”.</w:t>
      </w:r>
    </w:p>
    <w:p w14:paraId="352E92A6" w14:textId="77777777" w:rsidR="00137DF7" w:rsidRDefault="00137DF7" w:rsidP="00267757">
      <w:pPr>
        <w:pStyle w:val="Standard"/>
        <w:jc w:val="both"/>
        <w:rPr>
          <w:rFonts w:ascii="Arial" w:hAnsi="Arial" w:cs="Arial"/>
          <w:sz w:val="20"/>
          <w:szCs w:val="20"/>
        </w:rPr>
      </w:pPr>
    </w:p>
    <w:p w14:paraId="2133C2D5" w14:textId="175AFAC9" w:rsidR="00137DF7" w:rsidRDefault="00137DF7" w:rsidP="00267757">
      <w:pPr>
        <w:pStyle w:val="Standard"/>
        <w:jc w:val="both"/>
        <w:rPr>
          <w:rFonts w:ascii="Arial" w:hAnsi="Arial" w:cs="Arial"/>
          <w:sz w:val="20"/>
          <w:szCs w:val="20"/>
        </w:rPr>
      </w:pPr>
      <w:r>
        <w:rPr>
          <w:rFonts w:ascii="Arial" w:hAnsi="Arial" w:cs="Arial"/>
          <w:sz w:val="20"/>
          <w:szCs w:val="20"/>
        </w:rPr>
        <w:t>Con fecha 13 de febrero de 2025, la Sociedad ha presentado alegaciones oportunas sin que a la fecha de formulación de las presentes cuentas anuales se haya obtenido respuesta. La Sociedad, junto con sus asesores legales, califica la probabilidad de éxito de las alegaciones como posible, pero no probable, por lo que no se ha registrado provisión al 31 de diciembre de 202</w:t>
      </w:r>
      <w:r w:rsidR="0025724F">
        <w:rPr>
          <w:rFonts w:ascii="Arial" w:hAnsi="Arial" w:cs="Arial"/>
          <w:sz w:val="20"/>
          <w:szCs w:val="20"/>
        </w:rPr>
        <w:t>4</w:t>
      </w:r>
      <w:r>
        <w:rPr>
          <w:rFonts w:ascii="Arial" w:hAnsi="Arial" w:cs="Arial"/>
          <w:sz w:val="20"/>
          <w:szCs w:val="20"/>
        </w:rPr>
        <w:t>.</w:t>
      </w:r>
    </w:p>
    <w:p w14:paraId="26675065" w14:textId="77777777" w:rsidR="00137DF7" w:rsidRDefault="00137DF7" w:rsidP="00267757">
      <w:pPr>
        <w:pStyle w:val="Standard"/>
        <w:jc w:val="both"/>
        <w:rPr>
          <w:rFonts w:ascii="Arial" w:hAnsi="Arial" w:cs="Arial"/>
          <w:sz w:val="20"/>
          <w:szCs w:val="20"/>
        </w:rPr>
      </w:pPr>
    </w:p>
    <w:p w14:paraId="011DF23E" w14:textId="70C31ED3" w:rsidR="00A7777C" w:rsidRPr="00372CF1" w:rsidRDefault="00FF3335" w:rsidP="003C78B5">
      <w:pPr>
        <w:pStyle w:val="Standard"/>
        <w:jc w:val="both"/>
        <w:rPr>
          <w:rFonts w:cs="Arial"/>
        </w:rPr>
        <w:sectPr w:rsidR="00A7777C" w:rsidRPr="00372CF1" w:rsidSect="002356AD">
          <w:headerReference w:type="even" r:id="rId106"/>
          <w:headerReference w:type="default" r:id="rId107"/>
          <w:headerReference w:type="first" r:id="rId108"/>
          <w:pgSz w:w="11907" w:h="16840" w:code="9"/>
          <w:pgMar w:top="1797" w:right="1440" w:bottom="1701" w:left="1440" w:header="1134" w:footer="567" w:gutter="0"/>
          <w:cols w:space="720"/>
          <w:docGrid w:linePitch="360"/>
        </w:sectPr>
      </w:pPr>
      <w:r>
        <w:rPr>
          <w:rFonts w:ascii="Arial" w:hAnsi="Arial" w:cs="Arial"/>
          <w:sz w:val="20"/>
          <w:szCs w:val="20"/>
        </w:rPr>
        <w:t>Además de lo comentado anteriormente, n</w:t>
      </w:r>
      <w:r w:rsidR="007F1788">
        <w:rPr>
          <w:rFonts w:ascii="Arial" w:hAnsi="Arial" w:cs="Arial"/>
          <w:sz w:val="20"/>
          <w:szCs w:val="20"/>
        </w:rPr>
        <w:t xml:space="preserve">o </w:t>
      </w:r>
      <w:r w:rsidR="0006353E">
        <w:rPr>
          <w:rFonts w:ascii="Arial" w:hAnsi="Arial" w:cs="Arial"/>
          <w:sz w:val="20"/>
          <w:szCs w:val="20"/>
        </w:rPr>
        <w:t>existen</w:t>
      </w:r>
      <w:r w:rsidR="007F1788">
        <w:rPr>
          <w:rFonts w:ascii="Arial" w:hAnsi="Arial" w:cs="Arial"/>
          <w:sz w:val="20"/>
          <w:szCs w:val="20"/>
        </w:rPr>
        <w:t xml:space="preserve"> hechos posteriores </w:t>
      </w:r>
      <w:r w:rsidR="0006353E">
        <w:rPr>
          <w:rFonts w:ascii="Arial" w:hAnsi="Arial" w:cs="Arial"/>
          <w:sz w:val="20"/>
          <w:szCs w:val="20"/>
        </w:rPr>
        <w:t xml:space="preserve">significativos </w:t>
      </w:r>
      <w:r w:rsidR="007F1788">
        <w:rPr>
          <w:rFonts w:ascii="Arial" w:hAnsi="Arial" w:cs="Arial"/>
          <w:sz w:val="20"/>
          <w:szCs w:val="20"/>
        </w:rPr>
        <w:t xml:space="preserve">al cierre </w:t>
      </w:r>
      <w:r w:rsidR="0006353E">
        <w:rPr>
          <w:rFonts w:ascii="Arial" w:hAnsi="Arial" w:cs="Arial"/>
          <w:sz w:val="20"/>
          <w:szCs w:val="20"/>
        </w:rPr>
        <w:t>del ejercicio 202</w:t>
      </w:r>
      <w:r w:rsidR="00BD3737">
        <w:rPr>
          <w:rFonts w:ascii="Arial" w:hAnsi="Arial" w:cs="Arial"/>
          <w:sz w:val="20"/>
          <w:szCs w:val="20"/>
        </w:rPr>
        <w:t>4</w:t>
      </w:r>
      <w:r w:rsidR="0006353E">
        <w:rPr>
          <w:rFonts w:ascii="Arial" w:hAnsi="Arial" w:cs="Arial"/>
          <w:sz w:val="20"/>
          <w:szCs w:val="20"/>
        </w:rPr>
        <w:t>.</w:t>
      </w:r>
      <w:bookmarkEnd w:id="125"/>
      <w:r w:rsidR="006E46A3">
        <w:rPr>
          <w:rFonts w:cs="Arial"/>
        </w:rPr>
        <w:t xml:space="preserve"> </w:t>
      </w:r>
    </w:p>
    <w:p w14:paraId="7E857A52" w14:textId="6267D5AE" w:rsidR="00FD6578" w:rsidRPr="00C2140C" w:rsidRDefault="00FD6578" w:rsidP="00FD6578">
      <w:pPr>
        <w:spacing w:after="160" w:line="256" w:lineRule="auto"/>
        <w:rPr>
          <w:rFonts w:eastAsia="Calibri" w:cs="Arial"/>
          <w:b/>
          <w:szCs w:val="20"/>
        </w:rPr>
      </w:pPr>
      <w:bookmarkStart w:id="126" w:name="_Hlk191461589"/>
      <w:r w:rsidRPr="00260BD1">
        <w:rPr>
          <w:rFonts w:eastAsia="Calibri" w:cs="Arial"/>
          <w:b/>
          <w:szCs w:val="20"/>
        </w:rPr>
        <w:lastRenderedPageBreak/>
        <w:t>1.</w:t>
      </w:r>
      <w:r w:rsidRPr="00260BD1">
        <w:rPr>
          <w:rFonts w:eastAsia="Calibri" w:cs="Arial"/>
          <w:b/>
          <w:szCs w:val="20"/>
        </w:rPr>
        <w:tab/>
      </w:r>
      <w:bookmarkStart w:id="127" w:name="_Hlk190776618"/>
      <w:r w:rsidRPr="00260BD1">
        <w:rPr>
          <w:rFonts w:eastAsia="Calibri" w:cs="Arial"/>
          <w:b/>
          <w:szCs w:val="20"/>
        </w:rPr>
        <w:t>HECHOS MÁS DESTACADOS DURANTE EL EJERCICIO 202</w:t>
      </w:r>
      <w:r w:rsidR="00C4667B" w:rsidRPr="00260BD1">
        <w:rPr>
          <w:rFonts w:eastAsia="Calibri" w:cs="Arial"/>
          <w:b/>
          <w:szCs w:val="20"/>
        </w:rPr>
        <w:t>4</w:t>
      </w:r>
    </w:p>
    <w:p w14:paraId="075AB1CB" w14:textId="77777777" w:rsidR="0072079C" w:rsidRPr="009E368A" w:rsidRDefault="0072079C" w:rsidP="00FD6578">
      <w:pPr>
        <w:spacing w:after="160" w:line="256" w:lineRule="auto"/>
        <w:rPr>
          <w:rFonts w:eastAsia="Calibri" w:cs="Arial"/>
          <w:szCs w:val="20"/>
          <w:highlight w:val="yellow"/>
          <w:u w:val="single"/>
        </w:rPr>
      </w:pPr>
    </w:p>
    <w:p w14:paraId="41AE0F26" w14:textId="77777777" w:rsidR="00260BD1" w:rsidRPr="000E4115" w:rsidRDefault="00260BD1" w:rsidP="00260BD1">
      <w:pPr>
        <w:spacing w:after="160" w:line="256" w:lineRule="auto"/>
        <w:rPr>
          <w:rFonts w:eastAsia="Calibri" w:cs="Arial"/>
          <w:b/>
          <w:bCs/>
          <w:color w:val="FF0000"/>
          <w:szCs w:val="20"/>
          <w:u w:val="single"/>
        </w:rPr>
      </w:pPr>
      <w:r w:rsidRPr="000E4115">
        <w:rPr>
          <w:rFonts w:eastAsia="Calibri" w:cs="Arial"/>
          <w:szCs w:val="20"/>
          <w:u w:val="single"/>
        </w:rPr>
        <w:t>Situación económica</w:t>
      </w:r>
    </w:p>
    <w:p w14:paraId="4D8800E4" w14:textId="77777777" w:rsidR="00260BD1" w:rsidRDefault="00260BD1" w:rsidP="00260BD1">
      <w:pPr>
        <w:spacing w:after="160" w:line="256" w:lineRule="auto"/>
        <w:rPr>
          <w:rFonts w:eastAsia="Calibri" w:cs="Arial"/>
          <w:szCs w:val="20"/>
        </w:rPr>
      </w:pPr>
      <w:r w:rsidRPr="000E4115">
        <w:rPr>
          <w:rFonts w:eastAsia="Calibri" w:cs="Arial"/>
          <w:szCs w:val="20"/>
        </w:rPr>
        <w:t>En el ejercicio 202</w:t>
      </w:r>
      <w:r>
        <w:rPr>
          <w:rFonts w:eastAsia="Calibri" w:cs="Arial"/>
          <w:szCs w:val="20"/>
        </w:rPr>
        <w:t>4</w:t>
      </w:r>
      <w:r w:rsidRPr="000E4115">
        <w:rPr>
          <w:rFonts w:eastAsia="Calibri" w:cs="Arial"/>
          <w:szCs w:val="20"/>
        </w:rPr>
        <w:t xml:space="preserve"> la Sociedad ha obtenido un resultado presupuestario de </w:t>
      </w:r>
      <w:r>
        <w:rPr>
          <w:rFonts w:eastAsia="Calibri" w:cs="Arial"/>
          <w:szCs w:val="20"/>
        </w:rPr>
        <w:t>déficit</w:t>
      </w:r>
      <w:r w:rsidRPr="000E4115">
        <w:rPr>
          <w:rFonts w:eastAsia="Calibri" w:cs="Arial"/>
          <w:szCs w:val="20"/>
        </w:rPr>
        <w:t xml:space="preserve"> frente a la aportación del socio recibida</w:t>
      </w:r>
      <w:r>
        <w:rPr>
          <w:rFonts w:eastAsia="Calibri" w:cs="Arial"/>
          <w:szCs w:val="20"/>
        </w:rPr>
        <w:t>, debido a una desviación del 3% en el resultado</w:t>
      </w:r>
      <w:r w:rsidRPr="000E4115">
        <w:rPr>
          <w:rFonts w:eastAsia="Calibri" w:cs="Arial"/>
          <w:szCs w:val="20"/>
        </w:rPr>
        <w:t xml:space="preserve">. </w:t>
      </w:r>
      <w:r>
        <w:rPr>
          <w:rFonts w:eastAsia="Calibri" w:cs="Arial"/>
          <w:szCs w:val="20"/>
        </w:rPr>
        <w:t>No obstante, permanece totalmente saneada, manteniendo una situación de equilibrio patrimonial y sostenibilidad financiera.</w:t>
      </w:r>
    </w:p>
    <w:p w14:paraId="75970DBB" w14:textId="77777777" w:rsidR="00260BD1" w:rsidRDefault="00260BD1" w:rsidP="00260BD1">
      <w:pPr>
        <w:spacing w:after="160" w:line="256" w:lineRule="auto"/>
        <w:rPr>
          <w:rFonts w:eastAsia="Calibri" w:cs="Arial"/>
          <w:szCs w:val="20"/>
        </w:rPr>
      </w:pPr>
      <w:r>
        <w:rPr>
          <w:rFonts w:eastAsia="Calibri" w:cs="Arial"/>
          <w:szCs w:val="20"/>
        </w:rPr>
        <w:t>Esta desviación parte, principalmente,</w:t>
      </w:r>
      <w:r w:rsidRPr="007C488B">
        <w:rPr>
          <w:rFonts w:eastAsia="Calibri" w:cs="Arial"/>
          <w:szCs w:val="20"/>
        </w:rPr>
        <w:t xml:space="preserve"> </w:t>
      </w:r>
      <w:r>
        <w:rPr>
          <w:rFonts w:eastAsia="Calibri" w:cs="Arial"/>
          <w:szCs w:val="20"/>
        </w:rPr>
        <w:t xml:space="preserve">de una desviación respecto a las ventas previstas de la actividad Comercial, así como de la aportación de la Consejería de Turismo, prevista en el presupuesto y que finalmente no se concedió. Asimismo, se produce por los gastos realizados con carácter urgente en servicios exteriores y en licencias de aplicaciones informáticas, que fueron necesarios para </w:t>
      </w:r>
      <w:r w:rsidRPr="00172E44">
        <w:rPr>
          <w:rFonts w:eastAsia="Calibri" w:cs="Arial"/>
          <w:szCs w:val="20"/>
        </w:rPr>
        <w:t>restablecer el sistema y reforzar la ciberseguridad de la Sociedad tras el ataque informático sufrido en septiembre de 2024.</w:t>
      </w:r>
    </w:p>
    <w:p w14:paraId="3EF6B625" w14:textId="77777777" w:rsidR="00260BD1" w:rsidRPr="000C7C8C" w:rsidRDefault="00260BD1" w:rsidP="00260BD1">
      <w:pPr>
        <w:spacing w:after="160" w:line="256" w:lineRule="auto"/>
        <w:rPr>
          <w:rFonts w:eastAsia="Calibri" w:cs="Arial"/>
          <w:szCs w:val="20"/>
        </w:rPr>
      </w:pPr>
      <w:r w:rsidRPr="000C7C8C">
        <w:rPr>
          <w:rFonts w:eastAsia="Calibri" w:cs="Arial"/>
          <w:szCs w:val="20"/>
        </w:rPr>
        <w:t xml:space="preserve">La Sociedad, como en los últimos ejercicios, continúa sin endeudamiento financiero y dispone de un Fondo de Maniobra positivo que permite mantener la actividad de la empresa cumpliendo con los compromisos de pago. En este sentido, el período medio de pago a proveedores </w:t>
      </w:r>
      <w:r>
        <w:rPr>
          <w:rFonts w:eastAsia="Calibri" w:cs="Arial"/>
          <w:szCs w:val="20"/>
        </w:rPr>
        <w:t xml:space="preserve">se mantiene </w:t>
      </w:r>
      <w:r w:rsidRPr="0054711B">
        <w:rPr>
          <w:rFonts w:eastAsia="Calibri" w:cs="Arial"/>
          <w:szCs w:val="20"/>
        </w:rPr>
        <w:t>en 27 días en 2024</w:t>
      </w:r>
      <w:r w:rsidRPr="000C7C8C">
        <w:rPr>
          <w:rFonts w:eastAsia="Calibri" w:cs="Arial"/>
          <w:szCs w:val="20"/>
        </w:rPr>
        <w:t xml:space="preserve">, </w:t>
      </w:r>
      <w:r>
        <w:rPr>
          <w:rFonts w:eastAsia="Calibri" w:cs="Arial"/>
          <w:szCs w:val="20"/>
        </w:rPr>
        <w:t>consolidan</w:t>
      </w:r>
      <w:r w:rsidRPr="000C7C8C">
        <w:rPr>
          <w:rFonts w:eastAsia="Calibri" w:cs="Arial"/>
          <w:szCs w:val="20"/>
        </w:rPr>
        <w:t xml:space="preserve">do la </w:t>
      </w:r>
      <w:r>
        <w:rPr>
          <w:rFonts w:eastAsia="Calibri" w:cs="Arial"/>
          <w:szCs w:val="20"/>
        </w:rPr>
        <w:t>tendencia</w:t>
      </w:r>
      <w:r w:rsidRPr="000C7C8C">
        <w:rPr>
          <w:rFonts w:eastAsia="Calibri" w:cs="Arial"/>
          <w:szCs w:val="20"/>
        </w:rPr>
        <w:t xml:space="preserve"> de ejercicios anteriores.</w:t>
      </w:r>
    </w:p>
    <w:p w14:paraId="19B682FC" w14:textId="77777777" w:rsidR="00260BD1" w:rsidRPr="00961A26" w:rsidRDefault="00260BD1" w:rsidP="00260BD1">
      <w:pPr>
        <w:spacing w:after="160" w:line="256" w:lineRule="auto"/>
        <w:rPr>
          <w:rFonts w:eastAsia="Calibri" w:cs="Arial"/>
          <w:szCs w:val="20"/>
          <w:highlight w:val="yellow"/>
          <w:u w:val="single"/>
        </w:rPr>
      </w:pPr>
    </w:p>
    <w:p w14:paraId="09CBB359" w14:textId="77777777" w:rsidR="00260BD1" w:rsidRPr="00172E44" w:rsidRDefault="00260BD1" w:rsidP="00260BD1">
      <w:pPr>
        <w:spacing w:after="160" w:line="256" w:lineRule="auto"/>
        <w:rPr>
          <w:rFonts w:eastAsia="Calibri" w:cs="Arial"/>
          <w:b/>
          <w:bCs/>
          <w:color w:val="FF0000"/>
          <w:szCs w:val="20"/>
          <w:u w:val="single"/>
        </w:rPr>
      </w:pPr>
      <w:r w:rsidRPr="00172E44">
        <w:rPr>
          <w:rFonts w:eastAsia="Calibri" w:cs="Arial"/>
          <w:szCs w:val="20"/>
          <w:u w:val="single"/>
        </w:rPr>
        <w:t>Plan de actuación</w:t>
      </w:r>
    </w:p>
    <w:p w14:paraId="66AC20D7" w14:textId="77777777" w:rsidR="00260BD1" w:rsidRPr="00172E44" w:rsidRDefault="00260BD1" w:rsidP="00260BD1">
      <w:pPr>
        <w:spacing w:after="160" w:line="256" w:lineRule="auto"/>
        <w:rPr>
          <w:rFonts w:eastAsia="Calibri" w:cs="Arial"/>
          <w:szCs w:val="20"/>
        </w:rPr>
      </w:pPr>
      <w:r w:rsidRPr="00172E44">
        <w:rPr>
          <w:rFonts w:eastAsia="Calibri" w:cs="Arial"/>
          <w:szCs w:val="20"/>
        </w:rPr>
        <w:t>Como consecuencia de la modificación del plan de actuación</w:t>
      </w:r>
      <w:r>
        <w:rPr>
          <w:rFonts w:eastAsia="Calibri" w:cs="Arial"/>
          <w:szCs w:val="20"/>
        </w:rPr>
        <w:t>,</w:t>
      </w:r>
      <w:r w:rsidRPr="00172E44">
        <w:rPr>
          <w:rFonts w:eastAsia="Calibri" w:cs="Arial"/>
          <w:szCs w:val="20"/>
        </w:rPr>
        <w:t xml:space="preserve"> al considerar el nuevo Consejo de Administración que era necesaria la creación de un programa informático que evidenciara la no selección en las compras de producto para la comercialización</w:t>
      </w:r>
      <w:r>
        <w:rPr>
          <w:rFonts w:eastAsia="Calibri" w:cs="Arial"/>
          <w:szCs w:val="20"/>
        </w:rPr>
        <w:t>,</w:t>
      </w:r>
      <w:r w:rsidRPr="00172E44">
        <w:rPr>
          <w:rFonts w:eastAsia="Calibri" w:cs="Arial"/>
          <w:szCs w:val="20"/>
        </w:rPr>
        <w:t xml:space="preserve"> </w:t>
      </w:r>
      <w:r>
        <w:rPr>
          <w:rFonts w:eastAsia="Calibri" w:cs="Arial"/>
          <w:szCs w:val="20"/>
        </w:rPr>
        <w:t>d</w:t>
      </w:r>
      <w:r w:rsidRPr="00172E44">
        <w:rPr>
          <w:rFonts w:eastAsia="Calibri" w:cs="Arial"/>
          <w:szCs w:val="20"/>
        </w:rPr>
        <w:t xml:space="preserve">urante el año 2024 se </w:t>
      </w:r>
      <w:r>
        <w:rPr>
          <w:rFonts w:eastAsia="Calibri" w:cs="Arial"/>
          <w:szCs w:val="20"/>
        </w:rPr>
        <w:t>ha</w:t>
      </w:r>
      <w:r w:rsidRPr="00172E44">
        <w:rPr>
          <w:rFonts w:eastAsia="Calibri" w:cs="Arial"/>
          <w:szCs w:val="20"/>
        </w:rPr>
        <w:t xml:space="preserve"> trabajado en la implementación de este software y se espera que esté totalmente implantado en el segundo trimestre de 2025</w:t>
      </w:r>
      <w:r>
        <w:rPr>
          <w:rFonts w:eastAsia="Calibri" w:cs="Arial"/>
          <w:szCs w:val="20"/>
        </w:rPr>
        <w:t>. La Sociedad ha</w:t>
      </w:r>
      <w:r w:rsidRPr="00172E44">
        <w:rPr>
          <w:rFonts w:eastAsia="Calibri" w:cs="Arial"/>
          <w:szCs w:val="20"/>
        </w:rPr>
        <w:t xml:space="preserve"> solicitado dos prórrogas, </w:t>
      </w:r>
      <w:r>
        <w:rPr>
          <w:rFonts w:eastAsia="Calibri" w:cs="Arial"/>
          <w:szCs w:val="20"/>
        </w:rPr>
        <w:t xml:space="preserve">la última de ellas </w:t>
      </w:r>
      <w:r w:rsidRPr="00172E44">
        <w:rPr>
          <w:rFonts w:eastAsia="Calibri" w:cs="Arial"/>
          <w:szCs w:val="20"/>
        </w:rPr>
        <w:t xml:space="preserve">debido al ciberataque ocurrido en septiembre de 2024, el cual ha impedido </w:t>
      </w:r>
      <w:r>
        <w:rPr>
          <w:rFonts w:eastAsia="Calibri" w:cs="Arial"/>
          <w:szCs w:val="20"/>
        </w:rPr>
        <w:t>cumplir</w:t>
      </w:r>
      <w:r w:rsidRPr="00172E44">
        <w:rPr>
          <w:rFonts w:eastAsia="Calibri" w:cs="Arial"/>
          <w:szCs w:val="20"/>
        </w:rPr>
        <w:t xml:space="preserve"> </w:t>
      </w:r>
      <w:r>
        <w:rPr>
          <w:rFonts w:eastAsia="Calibri" w:cs="Arial"/>
          <w:szCs w:val="20"/>
        </w:rPr>
        <w:t>con el plaz</w:t>
      </w:r>
      <w:r w:rsidRPr="00172E44">
        <w:rPr>
          <w:rFonts w:eastAsia="Calibri" w:cs="Arial"/>
          <w:szCs w:val="20"/>
        </w:rPr>
        <w:t>o previsto.</w:t>
      </w:r>
    </w:p>
    <w:p w14:paraId="7474CB31" w14:textId="77777777" w:rsidR="00260BD1" w:rsidRDefault="00260BD1" w:rsidP="00260BD1">
      <w:pPr>
        <w:spacing w:after="160" w:line="256" w:lineRule="auto"/>
        <w:rPr>
          <w:rFonts w:eastAsia="Calibri" w:cs="Arial"/>
          <w:szCs w:val="20"/>
        </w:rPr>
      </w:pPr>
      <w:r w:rsidRPr="00172E44">
        <w:rPr>
          <w:rFonts w:eastAsia="Calibri" w:cs="Arial"/>
          <w:szCs w:val="20"/>
        </w:rPr>
        <w:t>La Sociedad espera finalizar el plan de actuación en 2025.</w:t>
      </w:r>
    </w:p>
    <w:p w14:paraId="3FA41701" w14:textId="77777777" w:rsidR="00260BD1" w:rsidRDefault="00260BD1" w:rsidP="00260BD1">
      <w:pPr>
        <w:spacing w:after="160" w:line="256" w:lineRule="auto"/>
        <w:rPr>
          <w:rFonts w:eastAsia="Calibri" w:cs="Arial"/>
          <w:szCs w:val="20"/>
        </w:rPr>
      </w:pPr>
    </w:p>
    <w:p w14:paraId="1513531D" w14:textId="77777777" w:rsidR="00260BD1" w:rsidRPr="008D086C" w:rsidRDefault="00260BD1" w:rsidP="00260BD1">
      <w:pPr>
        <w:spacing w:after="160" w:line="256" w:lineRule="auto"/>
        <w:rPr>
          <w:rFonts w:eastAsia="Calibri" w:cs="Arial"/>
          <w:szCs w:val="20"/>
          <w:u w:val="single"/>
        </w:rPr>
      </w:pPr>
      <w:r w:rsidRPr="008D086C">
        <w:rPr>
          <w:rFonts w:eastAsia="Calibri" w:cs="Arial"/>
          <w:szCs w:val="20"/>
          <w:u w:val="single"/>
        </w:rPr>
        <w:t>Ciberataque</w:t>
      </w:r>
    </w:p>
    <w:p w14:paraId="21683988" w14:textId="77777777" w:rsidR="00260BD1" w:rsidRDefault="00260BD1" w:rsidP="00260BD1">
      <w:pPr>
        <w:spacing w:after="160" w:line="256" w:lineRule="auto"/>
        <w:rPr>
          <w:rFonts w:eastAsia="Calibri" w:cs="Arial"/>
          <w:szCs w:val="20"/>
          <w:lang w:val="es-ES"/>
        </w:rPr>
      </w:pPr>
      <w:bookmarkStart w:id="128" w:name="_Hlk192578082"/>
      <w:r w:rsidRPr="008D086C">
        <w:rPr>
          <w:rFonts w:eastAsia="Calibri" w:cs="Arial"/>
          <w:szCs w:val="20"/>
          <w:lang w:val="es-ES"/>
        </w:rPr>
        <w:t xml:space="preserve">En la noche del martes 17 de septiembre de 2024 se declara un incidente crítico en la </w:t>
      </w:r>
      <w:r>
        <w:rPr>
          <w:rFonts w:eastAsia="Calibri" w:cs="Arial"/>
          <w:szCs w:val="20"/>
          <w:lang w:val="es-ES"/>
        </w:rPr>
        <w:t>Sociedad</w:t>
      </w:r>
      <w:r w:rsidRPr="008D086C">
        <w:rPr>
          <w:rFonts w:eastAsia="Calibri" w:cs="Arial"/>
          <w:szCs w:val="20"/>
          <w:lang w:val="es-ES"/>
        </w:rPr>
        <w:t xml:space="preserve"> tras la infección con el </w:t>
      </w:r>
      <w:r w:rsidRPr="008D086C">
        <w:rPr>
          <w:rFonts w:eastAsia="Calibri" w:cs="Arial"/>
          <w:i/>
          <w:iCs/>
          <w:szCs w:val="20"/>
          <w:lang w:val="es-ES"/>
        </w:rPr>
        <w:t>ransomware</w:t>
      </w:r>
      <w:r w:rsidRPr="008D086C">
        <w:rPr>
          <w:rFonts w:eastAsia="Calibri" w:cs="Arial"/>
          <w:szCs w:val="20"/>
          <w:lang w:val="es-ES"/>
        </w:rPr>
        <w:t xml:space="preserve"> FOG. Como consecuencia del ataque, parte del parque informático de </w:t>
      </w:r>
      <w:r>
        <w:rPr>
          <w:rFonts w:eastAsia="Calibri" w:cs="Arial"/>
          <w:szCs w:val="20"/>
          <w:lang w:val="es-ES"/>
        </w:rPr>
        <w:t xml:space="preserve">la Sociedad </w:t>
      </w:r>
      <w:r w:rsidRPr="008D086C">
        <w:rPr>
          <w:rFonts w:eastAsia="Calibri" w:cs="Arial"/>
          <w:szCs w:val="20"/>
          <w:lang w:val="es-ES"/>
        </w:rPr>
        <w:t xml:space="preserve">se ve afectado, con numerosos servidores de la infraestructura de virtualización, sistemas de </w:t>
      </w:r>
      <w:r w:rsidRPr="008D086C">
        <w:rPr>
          <w:rFonts w:eastAsia="Calibri" w:cs="Arial"/>
          <w:i/>
          <w:iCs/>
          <w:szCs w:val="20"/>
          <w:lang w:val="es-ES"/>
        </w:rPr>
        <w:t>backup</w:t>
      </w:r>
      <w:r w:rsidRPr="008D086C">
        <w:rPr>
          <w:rFonts w:eastAsia="Calibri" w:cs="Arial"/>
          <w:szCs w:val="20"/>
          <w:lang w:val="es-ES"/>
        </w:rPr>
        <w:t>, controladores de dominio y equipos de usuario cifrados.</w:t>
      </w:r>
      <w:r>
        <w:rPr>
          <w:rFonts w:eastAsia="Calibri" w:cs="Arial"/>
          <w:szCs w:val="20"/>
          <w:lang w:val="es-ES"/>
        </w:rPr>
        <w:t xml:space="preserve"> </w:t>
      </w:r>
      <w:r w:rsidRPr="008D086C">
        <w:rPr>
          <w:rFonts w:eastAsia="Calibri" w:cs="Arial"/>
          <w:szCs w:val="20"/>
          <w:lang w:val="es-ES"/>
        </w:rPr>
        <w:t>En los equipos afectados figuraban archivos cifrados con la extensión FOG.</w:t>
      </w:r>
    </w:p>
    <w:p w14:paraId="3673E083" w14:textId="77777777" w:rsidR="00260BD1" w:rsidRDefault="00260BD1" w:rsidP="00260BD1">
      <w:pPr>
        <w:spacing w:after="160" w:line="256" w:lineRule="auto"/>
        <w:rPr>
          <w:rFonts w:eastAsia="Calibri" w:cs="Arial"/>
          <w:szCs w:val="20"/>
          <w:lang w:val="es-ES"/>
        </w:rPr>
      </w:pPr>
      <w:r w:rsidRPr="008D086C">
        <w:rPr>
          <w:rFonts w:eastAsia="Calibri" w:cs="Arial"/>
          <w:szCs w:val="20"/>
          <w:lang w:val="es-ES"/>
        </w:rPr>
        <w:t xml:space="preserve">El Departamento de Sistemas Informáticos de </w:t>
      </w:r>
      <w:r>
        <w:rPr>
          <w:rFonts w:eastAsia="Calibri" w:cs="Arial"/>
          <w:szCs w:val="20"/>
          <w:lang w:val="es-ES"/>
        </w:rPr>
        <w:t>la Sociedad</w:t>
      </w:r>
      <w:r w:rsidRPr="008D086C">
        <w:rPr>
          <w:rFonts w:eastAsia="Calibri" w:cs="Arial"/>
          <w:szCs w:val="20"/>
          <w:lang w:val="es-ES"/>
        </w:rPr>
        <w:t xml:space="preserve"> detectó de manera temprana el incidente y se puso en contacto con el equipo de respuesta de incidentes del Centro Criptológico Nacional (CCN-CERT). Como primera medida de contención</w:t>
      </w:r>
      <w:r>
        <w:rPr>
          <w:rFonts w:eastAsia="Calibri" w:cs="Arial"/>
          <w:szCs w:val="20"/>
          <w:lang w:val="es-ES"/>
        </w:rPr>
        <w:t>,</w:t>
      </w:r>
      <w:r w:rsidRPr="008D086C">
        <w:rPr>
          <w:rFonts w:eastAsia="Calibri" w:cs="Arial"/>
          <w:szCs w:val="20"/>
          <w:lang w:val="es-ES"/>
        </w:rPr>
        <w:t xml:space="preserve"> para frenar la propagación del </w:t>
      </w:r>
      <w:r w:rsidRPr="008D086C">
        <w:rPr>
          <w:rFonts w:eastAsia="Calibri" w:cs="Arial"/>
          <w:i/>
          <w:iCs/>
          <w:szCs w:val="20"/>
          <w:lang w:val="es-ES"/>
        </w:rPr>
        <w:t>ransomware</w:t>
      </w:r>
      <w:r w:rsidRPr="008D086C">
        <w:rPr>
          <w:rFonts w:eastAsia="Calibri" w:cs="Arial"/>
          <w:szCs w:val="20"/>
          <w:lang w:val="es-ES"/>
        </w:rPr>
        <w:t xml:space="preserve"> y realizar con mayor seguridad las investigaciones oportunas para determinar la causa raíz, se toma la decisión de desconectar y apagar todos los sistemas. </w:t>
      </w:r>
    </w:p>
    <w:p w14:paraId="1678CDB8" w14:textId="77777777" w:rsidR="00260BD1" w:rsidRDefault="00260BD1" w:rsidP="00260BD1">
      <w:pPr>
        <w:spacing w:after="160" w:line="256" w:lineRule="auto"/>
        <w:rPr>
          <w:rFonts w:eastAsia="Calibri" w:cs="Arial"/>
          <w:szCs w:val="20"/>
          <w:lang w:val="es-ES"/>
        </w:rPr>
      </w:pPr>
      <w:r>
        <w:rPr>
          <w:rFonts w:eastAsia="Calibri" w:cs="Arial"/>
          <w:szCs w:val="20"/>
          <w:lang w:val="es-ES"/>
        </w:rPr>
        <w:t>Progresivamente, se fueron restableciendo los sistemas informáticos de la Sociedad, implantando nuevas medidas técnicas de seguridad, así como nuevas redes, usuarios y aplicaciones informáticas.</w:t>
      </w:r>
      <w:bookmarkEnd w:id="128"/>
    </w:p>
    <w:p w14:paraId="3378D44D" w14:textId="77777777" w:rsidR="00260BD1" w:rsidRDefault="00260BD1" w:rsidP="00260BD1">
      <w:pPr>
        <w:spacing w:after="160" w:line="256" w:lineRule="auto"/>
        <w:rPr>
          <w:rFonts w:eastAsia="Calibri" w:cs="Arial"/>
          <w:szCs w:val="20"/>
          <w:lang w:val="es-ES"/>
        </w:rPr>
      </w:pPr>
      <w:r>
        <w:rPr>
          <w:rFonts w:eastAsia="Calibri" w:cs="Arial"/>
          <w:szCs w:val="20"/>
          <w:lang w:val="es-ES"/>
        </w:rPr>
        <w:t>Tras el ataque, los sistemas informáticos de la Sociedad han quedado totalmente restablecidos y en perfecto funcionamiento.</w:t>
      </w:r>
    </w:p>
    <w:p w14:paraId="32967859" w14:textId="0F6B54E3" w:rsidR="00137DF7" w:rsidRDefault="00137DF7" w:rsidP="00260BD1">
      <w:pPr>
        <w:spacing w:after="160" w:line="256" w:lineRule="auto"/>
        <w:rPr>
          <w:rFonts w:eastAsia="Calibri" w:cs="Arial"/>
          <w:szCs w:val="20"/>
          <w:lang w:val="es-ES"/>
        </w:rPr>
      </w:pPr>
      <w:r>
        <w:rPr>
          <w:rFonts w:eastAsia="Calibri" w:cs="Arial"/>
          <w:szCs w:val="20"/>
          <w:lang w:val="es-ES"/>
        </w:rPr>
        <w:lastRenderedPageBreak/>
        <w:t>Es importante destacar que el ataque no supuso pérdida de información ni tampoco de la integridad de la misma.</w:t>
      </w:r>
    </w:p>
    <w:p w14:paraId="3D755A40" w14:textId="77777777" w:rsidR="00260BD1" w:rsidRDefault="00260BD1" w:rsidP="00260BD1">
      <w:pPr>
        <w:spacing w:after="160" w:line="256" w:lineRule="auto"/>
        <w:rPr>
          <w:rFonts w:eastAsia="Calibri" w:cs="Arial"/>
          <w:szCs w:val="20"/>
          <w:highlight w:val="yellow"/>
          <w:u w:val="single"/>
        </w:rPr>
      </w:pPr>
    </w:p>
    <w:p w14:paraId="510EC0FA" w14:textId="77777777" w:rsidR="00260BD1" w:rsidRPr="001B53BD" w:rsidRDefault="00260BD1" w:rsidP="00260BD1">
      <w:pPr>
        <w:spacing w:after="160" w:line="256" w:lineRule="auto"/>
        <w:rPr>
          <w:rFonts w:eastAsia="Calibri" w:cs="Arial"/>
          <w:b/>
          <w:bCs/>
          <w:color w:val="FF0000"/>
          <w:szCs w:val="20"/>
          <w:u w:val="single"/>
        </w:rPr>
      </w:pPr>
      <w:r w:rsidRPr="001B53BD">
        <w:rPr>
          <w:rFonts w:eastAsia="Calibri" w:cs="Arial"/>
          <w:szCs w:val="20"/>
          <w:u w:val="single"/>
        </w:rPr>
        <w:t>Departamento Comercial y Promoción</w:t>
      </w:r>
    </w:p>
    <w:p w14:paraId="3E0E0DF6" w14:textId="77777777" w:rsidR="00260BD1" w:rsidRDefault="00260BD1" w:rsidP="00260BD1">
      <w:r>
        <w:t>A lo largo de 2024 la actividad de comercialización ha consolidado los cambios de estrategia producidos por la nueva Dirección de la empresa y se han puesto las bases para poner en marcha acciones que verán la luz en 2025, lo que permitirá recuperar la facturación perdida en los últimos años. La expectativa es que 2025 sea un año de incremento.</w:t>
      </w:r>
    </w:p>
    <w:p w14:paraId="3C3A79B9" w14:textId="77777777" w:rsidR="00260BD1" w:rsidRDefault="00260BD1" w:rsidP="00260BD1">
      <w:pPr>
        <w:rPr>
          <w:rFonts w:ascii="Aptos" w:hAnsi="Aptos"/>
          <w:lang w:val="es-ES"/>
        </w:rPr>
      </w:pPr>
    </w:p>
    <w:p w14:paraId="2A5C8281" w14:textId="77777777" w:rsidR="00260BD1" w:rsidRDefault="00260BD1" w:rsidP="00260BD1">
      <w:r>
        <w:t>En este ejercicio se ha continuado buscando la ampliación de los nichos de utilidad y, fruto de esa política, se han incrementado las empresas que utilizan a la Sociedad como instrumento para apoyar su comercialización. La empresa pública, con vocación de ser útil allí donde más se requiera, ha continuado impulsando el proceso de diversificación de productos. En esta dinámica destaca la ampliación del catálogo de empresas.</w:t>
      </w:r>
    </w:p>
    <w:p w14:paraId="3A074F9A" w14:textId="77777777" w:rsidR="00260BD1" w:rsidRDefault="00260BD1" w:rsidP="00260BD1"/>
    <w:p w14:paraId="45859E63" w14:textId="77777777" w:rsidR="00260BD1" w:rsidRDefault="00260BD1" w:rsidP="00260BD1">
      <w:r>
        <w:t>La línea de packs regalo se consolida como una línea de futuro, permitiendo “colocar” en el mercado producciones de pequeños elaboradores y ayudando a sensibilizar y a convertir a empresas e instituciones en elementos propagadores de las bondades del producto local.</w:t>
      </w:r>
    </w:p>
    <w:p w14:paraId="321A14D5" w14:textId="77777777" w:rsidR="00260BD1" w:rsidRDefault="00260BD1" w:rsidP="00260BD1"/>
    <w:p w14:paraId="2D9DF331" w14:textId="77777777" w:rsidR="00260BD1" w:rsidRDefault="00260BD1" w:rsidP="00260BD1">
      <w:r>
        <w:t>El comercio electrónico ha sido una de las prioridades para el área comercial y, a partir de un cambio de paradigma que prima la descentralización y la presencia frente a la concentración en una única herramienta, se ha comenzado a trabajar en distintas plataformas de comercio electrónico tanto especializadas como generalistas (</w:t>
      </w:r>
      <w:r w:rsidRPr="001B2CF9">
        <w:rPr>
          <w:i/>
          <w:iCs/>
        </w:rPr>
        <w:t>Correos Market</w:t>
      </w:r>
      <w:r>
        <w:t xml:space="preserve"> o </w:t>
      </w:r>
      <w:r w:rsidRPr="001B2CF9">
        <w:rPr>
          <w:i/>
          <w:iCs/>
        </w:rPr>
        <w:t>Amazon</w:t>
      </w:r>
      <w:r>
        <w:t xml:space="preserve">). Ello no quita para que la Sociedad disponga, desde comienzos de 2025, de la plataforma propia </w:t>
      </w:r>
      <w:r w:rsidRPr="001B2CF9">
        <w:rPr>
          <w:i/>
          <w:iCs/>
        </w:rPr>
        <w:t>Volcanicxperience</w:t>
      </w:r>
      <w:r>
        <w:t>, que servirá de base para otros proyectos vinculados al enoturismo y a la venta electrónica de vino.</w:t>
      </w:r>
    </w:p>
    <w:p w14:paraId="1F87610A" w14:textId="77777777" w:rsidR="00260BD1" w:rsidRDefault="00260BD1" w:rsidP="00260BD1"/>
    <w:p w14:paraId="27A285FD" w14:textId="77777777" w:rsidR="00260BD1" w:rsidRDefault="00260BD1" w:rsidP="00260BD1">
      <w:r>
        <w:t xml:space="preserve">Desde el punto de vista organizativo se consolida la centralización de la actividad administrativa del Departamento Comercial, que ha implicado que se gane en versatilidad y solidez para afrontar nuevos crecimientos derivados del proyecto </w:t>
      </w:r>
      <w:r w:rsidRPr="001B2CF9">
        <w:rPr>
          <w:i/>
          <w:iCs/>
        </w:rPr>
        <w:t>Crecer Juntos</w:t>
      </w:r>
      <w:r>
        <w:t>.</w:t>
      </w:r>
    </w:p>
    <w:p w14:paraId="20FB0E15" w14:textId="77777777" w:rsidR="00260BD1" w:rsidRDefault="00260BD1" w:rsidP="00260BD1"/>
    <w:p w14:paraId="5A5806EE" w14:textId="77777777" w:rsidR="00260BD1" w:rsidRDefault="00260BD1" w:rsidP="00260BD1">
      <w:r>
        <w:t xml:space="preserve">La estrategia </w:t>
      </w:r>
      <w:r w:rsidRPr="001B2CF9">
        <w:rPr>
          <w:i/>
          <w:iCs/>
        </w:rPr>
        <w:t>Crecer Juntos</w:t>
      </w:r>
      <w:r>
        <w:t xml:space="preserve"> y el uso de la marca </w:t>
      </w:r>
      <w:r w:rsidRPr="001B2CF9">
        <w:rPr>
          <w:i/>
          <w:iCs/>
        </w:rPr>
        <w:t>Volcanic Xperience</w:t>
      </w:r>
      <w:r>
        <w:t>, se ha consolidado y es el eje sobre el que pivotará la estrategia de impulso del producto local que se pone ahora en marcha. Dentro de esta estrategia se han llevado a cabo casi 200 acciones dentro de los seis ejes que la componen que se han desplegado en casi 2.000 acciones a lo largo del año tanto dentro como fuera de Canarias.</w:t>
      </w:r>
    </w:p>
    <w:p w14:paraId="7E0EC75A" w14:textId="77777777" w:rsidR="00260BD1" w:rsidRDefault="00260BD1" w:rsidP="00260BD1"/>
    <w:p w14:paraId="1802C14F" w14:textId="77777777" w:rsidR="00260BD1" w:rsidRDefault="00260BD1" w:rsidP="00260BD1">
      <w:r>
        <w:t xml:space="preserve">Como se puso de manifiesto en el evento del 14 de noviembre al que acudieron más de 200 personas, el hecho diferencial frente a la edición anterior de </w:t>
      </w:r>
      <w:r w:rsidRPr="001B2CF9">
        <w:rPr>
          <w:i/>
          <w:iCs/>
        </w:rPr>
        <w:t>Crecer Juntos</w:t>
      </w:r>
      <w:r>
        <w:t xml:space="preserve"> se ha diseñado un enfoque orientado no solo al objetivo de que quienes nos visitan reconozcan Canarias como un destino gastronómico si no enfocado a la población local, muy desconocedora de la riqueza gastronómica y a la que se pretende convertir en referente y prescriptora como paso previo.</w:t>
      </w:r>
    </w:p>
    <w:p w14:paraId="3CBE9FAF" w14:textId="77777777" w:rsidR="00260BD1" w:rsidRDefault="00260BD1" w:rsidP="00260BD1"/>
    <w:p w14:paraId="7800C7F3" w14:textId="77777777" w:rsidR="00260BD1" w:rsidRDefault="00260BD1" w:rsidP="00260BD1">
      <w:r>
        <w:t>A lo largo del año se espera disponer nuevamente</w:t>
      </w:r>
      <w:r w:rsidRPr="001B2CF9">
        <w:t xml:space="preserve"> </w:t>
      </w:r>
      <w:r>
        <w:t>del almacén de Mercalaspalmas, una vez renovado después del incendio de junio 2023, y contar con una plataforma que ayude a consolidar el crecimiento que hoy en día está limitado en la provincia Oriental.</w:t>
      </w:r>
    </w:p>
    <w:p w14:paraId="5103AB24" w14:textId="77777777" w:rsidR="00260BD1" w:rsidRDefault="00260BD1" w:rsidP="00260BD1"/>
    <w:p w14:paraId="14C95348" w14:textId="77777777" w:rsidR="00260BD1" w:rsidRDefault="00260BD1" w:rsidP="00260BD1">
      <w:r>
        <w:t>2024 se ha centrado en impulsar la exportación. Con ese objetivo se ha cerrado un acuerdo con el Clúster de enoturismo para mejorar las ventas a los visitantes a las bodegas, permitiendo la recepción de la compra “en caliente” en sus lugares de origen.</w:t>
      </w:r>
    </w:p>
    <w:p w14:paraId="0A8CA469" w14:textId="77777777" w:rsidR="00260BD1" w:rsidRDefault="00260BD1" w:rsidP="00260BD1"/>
    <w:p w14:paraId="508C0CE9" w14:textId="77777777" w:rsidR="00260BD1" w:rsidRDefault="00260BD1" w:rsidP="00260BD1">
      <w:r>
        <w:t>Se han abierto mercados en Nueva York (participación en la conferencia de vinos volcánicos) y Washington, que se pretende consolidar a lo largo de los próximos años con acciones coordinadas con diversos agentes.</w:t>
      </w:r>
    </w:p>
    <w:p w14:paraId="27D82C66" w14:textId="77777777" w:rsidR="00260BD1" w:rsidRDefault="00260BD1" w:rsidP="00260BD1"/>
    <w:p w14:paraId="2B2C1228" w14:textId="77777777" w:rsidR="00260BD1" w:rsidRDefault="00260BD1" w:rsidP="00260BD1">
      <w:r>
        <w:lastRenderedPageBreak/>
        <w:t>Como uno de los proyectos más relevantes se ha cerrado un acuerdo con BINTER Canarias para ser proveedor principal y socio estratégico para incorporar producto local en los aviones, especialmente vino.</w:t>
      </w:r>
    </w:p>
    <w:p w14:paraId="54C15ED9" w14:textId="77777777" w:rsidR="00260BD1" w:rsidRDefault="00260BD1" w:rsidP="00260BD1"/>
    <w:p w14:paraId="19608E44" w14:textId="77777777" w:rsidR="00260BD1" w:rsidRDefault="00260BD1" w:rsidP="00260BD1">
      <w:r>
        <w:t xml:space="preserve">Se ha trabajado con distintas instituciones públicas y privadas para para acercar el sector primario al turístico, con el doble objetivo de incentivar su consumo y de convertir el producto de cercanía y la gastronomía local en atractivos turísticos. Con este mismo objetivo se celebraron diversas jornadas de formación al canal HORECA y al alumnado de HECANSA denominadas </w:t>
      </w:r>
      <w:r w:rsidRPr="008C5421">
        <w:rPr>
          <w:i/>
          <w:iCs/>
        </w:rPr>
        <w:t>‘Canarias en su punto’</w:t>
      </w:r>
      <w:r>
        <w:t>.</w:t>
      </w:r>
    </w:p>
    <w:p w14:paraId="283E7B9B" w14:textId="77777777" w:rsidR="00260BD1" w:rsidRDefault="00260BD1" w:rsidP="00260BD1"/>
    <w:p w14:paraId="0018A5EE" w14:textId="77777777" w:rsidR="00260BD1" w:rsidRDefault="00260BD1" w:rsidP="00260BD1">
      <w:r>
        <w:t>Se han multiplicado el número de actuaciones en colaboración con distintos agentes descentralizando la organización con el objetivo de ampliar el alcance y difundir el mensaje de manera más intensa.</w:t>
      </w:r>
    </w:p>
    <w:p w14:paraId="4CA24CEA" w14:textId="77777777" w:rsidR="00260BD1" w:rsidRDefault="00260BD1" w:rsidP="00260BD1"/>
    <w:p w14:paraId="096D825B" w14:textId="77777777" w:rsidR="00260BD1" w:rsidRDefault="00260BD1" w:rsidP="00260BD1">
      <w:r>
        <w:t>En 2024, la Sociedad participó en las ferias FITUR, ITB, FEAGA, B Travel, Salón Gourmets, Alimentaria, Salón Verema, Carrefour o Gastrocanarias, entre otras. Por otra parte, lideró y coordinó acciones de promoción comerciales para fomentar la demanda de producto canario en el punto de venta en grandes superficies. Con motivo de la Oktober Fest se realizó una campaña de degustaciones de cerveza y vino, y en Navidad se realizó la campaña de queso y vino en grandes superficies.</w:t>
      </w:r>
    </w:p>
    <w:p w14:paraId="492E99E6" w14:textId="77777777" w:rsidR="00260BD1" w:rsidRDefault="00260BD1" w:rsidP="00260BD1"/>
    <w:p w14:paraId="1BD2F947" w14:textId="77777777" w:rsidR="00260BD1" w:rsidRDefault="00260BD1" w:rsidP="00260BD1">
      <w:r>
        <w:t>Por último, en 2024 se gestionó el envío de muestras de vinos canarios a los concursos SERVIN, Vinespaña, Peñín,  Bacchus, Pequeñas DO, y Baco como un apoyo a las bodegas canarias y se colaboró con distintos eventos mediante su patrocinio.</w:t>
      </w:r>
    </w:p>
    <w:p w14:paraId="07B1E1C7" w14:textId="77777777" w:rsidR="00260BD1" w:rsidRDefault="00260BD1" w:rsidP="00260BD1"/>
    <w:p w14:paraId="4E2F3F9F" w14:textId="77777777" w:rsidR="00260BD1" w:rsidRPr="00961A26" w:rsidRDefault="00260BD1" w:rsidP="00260BD1">
      <w:pPr>
        <w:rPr>
          <w:color w:val="000000"/>
          <w:highlight w:val="yellow"/>
        </w:rPr>
      </w:pPr>
    </w:p>
    <w:p w14:paraId="05A896AC" w14:textId="77777777" w:rsidR="00260BD1" w:rsidRPr="000C7C8C" w:rsidRDefault="00260BD1" w:rsidP="00260BD1">
      <w:pPr>
        <w:spacing w:after="160" w:line="252" w:lineRule="auto"/>
        <w:rPr>
          <w:b/>
          <w:bCs/>
          <w:color w:val="FF0000"/>
          <w:u w:val="single"/>
        </w:rPr>
      </w:pPr>
      <w:r w:rsidRPr="000C7C8C">
        <w:rPr>
          <w:u w:val="single"/>
        </w:rPr>
        <w:t>D</w:t>
      </w:r>
      <w:r>
        <w:rPr>
          <w:u w:val="single"/>
        </w:rPr>
        <w:t>epartamento</w:t>
      </w:r>
      <w:r w:rsidRPr="000C7C8C">
        <w:rPr>
          <w:u w:val="single"/>
        </w:rPr>
        <w:t xml:space="preserve"> de </w:t>
      </w:r>
      <w:r>
        <w:rPr>
          <w:u w:val="single"/>
        </w:rPr>
        <w:t>P</w:t>
      </w:r>
      <w:r w:rsidRPr="000C7C8C">
        <w:rPr>
          <w:u w:val="single"/>
        </w:rPr>
        <w:t>royectos</w:t>
      </w:r>
    </w:p>
    <w:p w14:paraId="2FA90B25" w14:textId="77777777" w:rsidR="00260BD1" w:rsidRPr="000E4115" w:rsidRDefault="00260BD1" w:rsidP="00260BD1">
      <w:pPr>
        <w:spacing w:after="160" w:line="252" w:lineRule="auto"/>
      </w:pPr>
      <w:r w:rsidRPr="000E4115">
        <w:t>La Sociedad, como empresa instrumental presta servicios de carácter técnico vinculados al medio rural</w:t>
      </w:r>
      <w:r w:rsidRPr="000E4115">
        <w:rPr>
          <w:b/>
          <w:bCs/>
        </w:rPr>
        <w:t xml:space="preserve"> </w:t>
      </w:r>
      <w:r w:rsidRPr="000E4115">
        <w:t>(veterinarios, agrarios, formativos, tecnológicos, de gestión, calidad, administrativos, etc.). Estos servicios se ofertan y desarrollan tanto para la Consejería de Agricultura, Ganadería, Pesca y Soberanía Alimentaria (CAGPSA), como para otros centros directivos del Gobierno de Canarias, a través de la figura de los Encargos a un Medio Propio.</w:t>
      </w:r>
    </w:p>
    <w:p w14:paraId="031D48F0" w14:textId="77777777" w:rsidR="00260BD1" w:rsidRDefault="00260BD1" w:rsidP="00260BD1">
      <w:pPr>
        <w:spacing w:after="160" w:line="252" w:lineRule="auto"/>
      </w:pPr>
      <w:r w:rsidRPr="000E4115">
        <w:t>Así</w:t>
      </w:r>
      <w:r>
        <w:t>,</w:t>
      </w:r>
      <w:r w:rsidRPr="000E4115">
        <w:t xml:space="preserve"> durante el 202</w:t>
      </w:r>
      <w:r>
        <w:t>4</w:t>
      </w:r>
      <w:r w:rsidRPr="000E4115">
        <w:t xml:space="preserve">, se han ejecutado los siguientes trabajos que fueron encargados a </w:t>
      </w:r>
      <w:r>
        <w:t>la Sociedad</w:t>
      </w:r>
      <w:r w:rsidRPr="000E4115">
        <w:t xml:space="preserve"> desde la CAGPSA:</w:t>
      </w:r>
    </w:p>
    <w:p w14:paraId="4BE4ED16" w14:textId="77777777" w:rsidR="00260BD1" w:rsidRPr="000E4115" w:rsidRDefault="00260BD1" w:rsidP="00260BD1">
      <w:pPr>
        <w:spacing w:after="160" w:line="252" w:lineRule="auto"/>
      </w:pPr>
    </w:p>
    <w:tbl>
      <w:tblPr>
        <w:tblW w:w="84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644"/>
        <w:gridCol w:w="1795"/>
      </w:tblGrid>
      <w:tr w:rsidR="00260BD1" w:rsidRPr="000C7C8C" w14:paraId="2FA22E00" w14:textId="77777777" w:rsidTr="00AA114A">
        <w:trPr>
          <w:trHeight w:val="690"/>
          <w:jc w:val="center"/>
        </w:trPr>
        <w:tc>
          <w:tcPr>
            <w:tcW w:w="6644" w:type="dxa"/>
            <w:shd w:val="clear" w:color="auto" w:fill="BFBFBF" w:themeFill="background1" w:themeFillShade="BF"/>
            <w:vAlign w:val="center"/>
            <w:hideMark/>
          </w:tcPr>
          <w:p w14:paraId="1583BF09" w14:textId="77777777" w:rsidR="00260BD1" w:rsidRPr="000C7C8C" w:rsidRDefault="00260BD1" w:rsidP="00AA114A">
            <w:pPr>
              <w:spacing w:after="160" w:line="252" w:lineRule="auto"/>
              <w:rPr>
                <w:rFonts w:cs="Arial"/>
                <w:b/>
                <w:bCs/>
                <w:sz w:val="16"/>
                <w:szCs w:val="16"/>
                <w:lang w:val="es-ES"/>
              </w:rPr>
            </w:pPr>
            <w:bookmarkStart w:id="129" w:name="_Hlk160611802"/>
            <w:r w:rsidRPr="000C7C8C">
              <w:rPr>
                <w:rFonts w:cs="Arial"/>
                <w:b/>
                <w:bCs/>
                <w:sz w:val="16"/>
                <w:szCs w:val="16"/>
                <w:lang w:val="es-ES"/>
              </w:rPr>
              <w:t>Descripción del encargo</w:t>
            </w:r>
          </w:p>
        </w:tc>
        <w:tc>
          <w:tcPr>
            <w:tcW w:w="1795" w:type="dxa"/>
            <w:shd w:val="clear" w:color="auto" w:fill="BFBFBF" w:themeFill="background1" w:themeFillShade="BF"/>
            <w:vAlign w:val="center"/>
            <w:hideMark/>
          </w:tcPr>
          <w:p w14:paraId="7A447750" w14:textId="77777777" w:rsidR="00260BD1" w:rsidRPr="000C7C8C" w:rsidRDefault="00260BD1" w:rsidP="00AA114A">
            <w:pPr>
              <w:spacing w:after="160" w:line="252" w:lineRule="auto"/>
              <w:rPr>
                <w:rFonts w:cs="Arial"/>
                <w:b/>
                <w:bCs/>
                <w:sz w:val="16"/>
                <w:szCs w:val="16"/>
                <w:lang w:val="es-ES"/>
              </w:rPr>
            </w:pPr>
            <w:r w:rsidRPr="000C7C8C">
              <w:rPr>
                <w:rFonts w:cs="Arial"/>
                <w:b/>
                <w:bCs/>
                <w:sz w:val="16"/>
                <w:szCs w:val="16"/>
                <w:lang w:val="es-ES"/>
              </w:rPr>
              <w:t>Dirección General</w:t>
            </w:r>
          </w:p>
        </w:tc>
      </w:tr>
      <w:tr w:rsidR="00260BD1" w:rsidRPr="000C7C8C" w14:paraId="290F5D15" w14:textId="77777777" w:rsidTr="00AA114A">
        <w:trPr>
          <w:trHeight w:val="465"/>
          <w:jc w:val="center"/>
        </w:trPr>
        <w:tc>
          <w:tcPr>
            <w:tcW w:w="6644" w:type="dxa"/>
            <w:vAlign w:val="center"/>
            <w:hideMark/>
          </w:tcPr>
          <w:p w14:paraId="7BCB8C3D"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a los Programas de Vigilancia, Control y Erradicación de Determinadas Enfermedades Animales y Apoyo a la Ejecución del Programa de Letra Q para el año 2024</w:t>
            </w:r>
          </w:p>
        </w:tc>
        <w:tc>
          <w:tcPr>
            <w:tcW w:w="1795" w:type="dxa"/>
            <w:vAlign w:val="center"/>
            <w:hideMark/>
          </w:tcPr>
          <w:p w14:paraId="4AD002FC"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Ganadería</w:t>
            </w:r>
          </w:p>
        </w:tc>
      </w:tr>
      <w:tr w:rsidR="00260BD1" w:rsidRPr="000C7C8C" w14:paraId="450017F2" w14:textId="77777777" w:rsidTr="00AA114A">
        <w:trPr>
          <w:trHeight w:val="915"/>
          <w:jc w:val="center"/>
        </w:trPr>
        <w:tc>
          <w:tcPr>
            <w:tcW w:w="6644" w:type="dxa"/>
            <w:vAlign w:val="center"/>
            <w:hideMark/>
          </w:tcPr>
          <w:p w14:paraId="4D72B8CF"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al control oficial del rendimiento lechero en el ganado caprino y ovino en explotaciones ganaderas en Canarias y gestión y control de las ayudas previstas en el programa comunitario de apoyo a las producciones agrarias de canarias para el año 2023-2024</w:t>
            </w:r>
          </w:p>
        </w:tc>
        <w:tc>
          <w:tcPr>
            <w:tcW w:w="1795" w:type="dxa"/>
            <w:vAlign w:val="center"/>
            <w:hideMark/>
          </w:tcPr>
          <w:p w14:paraId="4528B04B"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Ganadería</w:t>
            </w:r>
          </w:p>
        </w:tc>
      </w:tr>
      <w:tr w:rsidR="00260BD1" w:rsidRPr="000C7C8C" w14:paraId="79EB0CA6" w14:textId="77777777" w:rsidTr="00AA114A">
        <w:trPr>
          <w:trHeight w:val="465"/>
          <w:jc w:val="center"/>
        </w:trPr>
        <w:tc>
          <w:tcPr>
            <w:tcW w:w="6644" w:type="dxa"/>
            <w:vAlign w:val="center"/>
            <w:hideMark/>
          </w:tcPr>
          <w:p w14:paraId="2FA36B91"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Informes de la verificación de datos registrados en las solicitudes de ayudas de los Fondos Agrícolas Europeos, y modernización de aplicativos informáticos, 2023-2024</w:t>
            </w:r>
          </w:p>
        </w:tc>
        <w:tc>
          <w:tcPr>
            <w:tcW w:w="1795" w:type="dxa"/>
            <w:vAlign w:val="center"/>
            <w:hideMark/>
          </w:tcPr>
          <w:p w14:paraId="2B626C8C"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Viceconsejer</w:t>
            </w:r>
            <w:r>
              <w:rPr>
                <w:rFonts w:cs="Arial"/>
                <w:sz w:val="16"/>
                <w:szCs w:val="16"/>
                <w:lang w:val="es-ES"/>
              </w:rPr>
              <w:t>í</w:t>
            </w:r>
            <w:r w:rsidRPr="000C7C8C">
              <w:rPr>
                <w:rFonts w:cs="Arial"/>
                <w:sz w:val="16"/>
                <w:szCs w:val="16"/>
                <w:lang w:val="es-ES"/>
              </w:rPr>
              <w:t>a del Sector Primario</w:t>
            </w:r>
          </w:p>
        </w:tc>
      </w:tr>
      <w:tr w:rsidR="00260BD1" w:rsidRPr="000C7C8C" w14:paraId="52407C25" w14:textId="77777777" w:rsidTr="00AA114A">
        <w:trPr>
          <w:trHeight w:val="555"/>
          <w:jc w:val="center"/>
        </w:trPr>
        <w:tc>
          <w:tcPr>
            <w:tcW w:w="6644" w:type="dxa"/>
            <w:vAlign w:val="center"/>
            <w:hideMark/>
          </w:tcPr>
          <w:p w14:paraId="49513BAF"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Informes de la verificación de datos registrados en las solicitudes de ayudas de los Fondos Agrícolas Europeos, y modernización de aplicativos informáticos, 2023-2024</w:t>
            </w:r>
          </w:p>
        </w:tc>
        <w:tc>
          <w:tcPr>
            <w:tcW w:w="1795" w:type="dxa"/>
            <w:vAlign w:val="center"/>
            <w:hideMark/>
          </w:tcPr>
          <w:p w14:paraId="4C6B7A52"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Viceconsejer</w:t>
            </w:r>
            <w:r>
              <w:rPr>
                <w:rFonts w:cs="Arial"/>
                <w:sz w:val="16"/>
                <w:szCs w:val="16"/>
                <w:lang w:val="es-ES"/>
              </w:rPr>
              <w:t>í</w:t>
            </w:r>
            <w:r w:rsidRPr="000C7C8C">
              <w:rPr>
                <w:rFonts w:cs="Arial"/>
                <w:sz w:val="16"/>
                <w:szCs w:val="16"/>
                <w:lang w:val="es-ES"/>
              </w:rPr>
              <w:t>a del Sector Primario</w:t>
            </w:r>
          </w:p>
        </w:tc>
      </w:tr>
      <w:tr w:rsidR="00260BD1" w:rsidRPr="000C7C8C" w14:paraId="6BF79162" w14:textId="77777777" w:rsidTr="00AA114A">
        <w:trPr>
          <w:trHeight w:val="840"/>
          <w:jc w:val="center"/>
        </w:trPr>
        <w:tc>
          <w:tcPr>
            <w:tcW w:w="6644" w:type="dxa"/>
            <w:vAlign w:val="center"/>
            <w:hideMark/>
          </w:tcPr>
          <w:p w14:paraId="0EE787E9"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Realización de trabajos técnicos para el mantenimiento integral, conservación, protección y apoyo de las reservas marinas de interés pesquero (RIMP).</w:t>
            </w:r>
          </w:p>
        </w:tc>
        <w:tc>
          <w:tcPr>
            <w:tcW w:w="1795" w:type="dxa"/>
            <w:vAlign w:val="center"/>
            <w:hideMark/>
          </w:tcPr>
          <w:p w14:paraId="6355C1C5"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Pesca</w:t>
            </w:r>
          </w:p>
        </w:tc>
      </w:tr>
      <w:tr w:rsidR="00260BD1" w:rsidRPr="000C7C8C" w14:paraId="50696226" w14:textId="77777777" w:rsidTr="00AA114A">
        <w:trPr>
          <w:trHeight w:val="690"/>
          <w:jc w:val="center"/>
        </w:trPr>
        <w:tc>
          <w:tcPr>
            <w:tcW w:w="6644" w:type="dxa"/>
            <w:vAlign w:val="center"/>
            <w:hideMark/>
          </w:tcPr>
          <w:p w14:paraId="13914F3F"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lastRenderedPageBreak/>
              <w:t>Apoyo al desempeño de las funciones del Servicio de Planificación de Obras y Ordenación Rural</w:t>
            </w:r>
          </w:p>
        </w:tc>
        <w:tc>
          <w:tcPr>
            <w:tcW w:w="1795" w:type="dxa"/>
            <w:vAlign w:val="center"/>
            <w:hideMark/>
          </w:tcPr>
          <w:p w14:paraId="4899D411"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7A0E8862" w14:textId="77777777" w:rsidTr="00AA114A">
        <w:trPr>
          <w:trHeight w:val="709"/>
          <w:jc w:val="center"/>
        </w:trPr>
        <w:tc>
          <w:tcPr>
            <w:tcW w:w="6644" w:type="dxa"/>
            <w:vAlign w:val="center"/>
            <w:hideMark/>
          </w:tcPr>
          <w:p w14:paraId="75E71AB4"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a los expedientes de ejecución de obra pública</w:t>
            </w:r>
          </w:p>
        </w:tc>
        <w:tc>
          <w:tcPr>
            <w:tcW w:w="1795" w:type="dxa"/>
            <w:vAlign w:val="center"/>
            <w:hideMark/>
          </w:tcPr>
          <w:p w14:paraId="3DF84F7F"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74D89228" w14:textId="77777777" w:rsidTr="00AA114A">
        <w:trPr>
          <w:trHeight w:val="690"/>
          <w:jc w:val="center"/>
        </w:trPr>
        <w:tc>
          <w:tcPr>
            <w:tcW w:w="6644" w:type="dxa"/>
            <w:vAlign w:val="center"/>
            <w:hideMark/>
          </w:tcPr>
          <w:p w14:paraId="1A932239"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Control del cambio climático y de las especies exóticas invasoras y control oficial de la ciguatoxina en los productos de la pesca extractiva en los puntos de primera venta autorizados en Canarias, y apoyo a la gestión del plan nacional de control oficial de la cadena alimentaria (PNCOCA) de la Dirección General de Pesca 2024-2025</w:t>
            </w:r>
          </w:p>
        </w:tc>
        <w:tc>
          <w:tcPr>
            <w:tcW w:w="1795" w:type="dxa"/>
            <w:vAlign w:val="center"/>
            <w:hideMark/>
          </w:tcPr>
          <w:p w14:paraId="199499AF"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Pesca</w:t>
            </w:r>
          </w:p>
        </w:tc>
      </w:tr>
      <w:tr w:rsidR="00260BD1" w:rsidRPr="000C7C8C" w14:paraId="55D32952" w14:textId="77777777" w:rsidTr="00AA114A">
        <w:trPr>
          <w:trHeight w:val="690"/>
          <w:jc w:val="center"/>
        </w:trPr>
        <w:tc>
          <w:tcPr>
            <w:tcW w:w="6644" w:type="dxa"/>
            <w:vAlign w:val="center"/>
            <w:hideMark/>
          </w:tcPr>
          <w:p w14:paraId="336C0297"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a la gestión del plan nacional de control de la cadena alimentaria (PNCOCA) de la Dirección General de Ganadería en el año 2023-2024.</w:t>
            </w:r>
          </w:p>
        </w:tc>
        <w:tc>
          <w:tcPr>
            <w:tcW w:w="1795" w:type="dxa"/>
            <w:vAlign w:val="center"/>
            <w:hideMark/>
          </w:tcPr>
          <w:p w14:paraId="51AC30A6"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Ganadería</w:t>
            </w:r>
          </w:p>
        </w:tc>
      </w:tr>
      <w:tr w:rsidR="00260BD1" w:rsidRPr="000C7C8C" w14:paraId="50718417" w14:textId="77777777" w:rsidTr="00AA114A">
        <w:trPr>
          <w:trHeight w:val="690"/>
          <w:jc w:val="center"/>
        </w:trPr>
        <w:tc>
          <w:tcPr>
            <w:tcW w:w="6644" w:type="dxa"/>
            <w:vAlign w:val="center"/>
            <w:hideMark/>
          </w:tcPr>
          <w:p w14:paraId="20E5008A"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a la gestión documental de denuncias y de expedientes sancionadores 2024-2025</w:t>
            </w:r>
          </w:p>
        </w:tc>
        <w:tc>
          <w:tcPr>
            <w:tcW w:w="1795" w:type="dxa"/>
            <w:vAlign w:val="center"/>
            <w:hideMark/>
          </w:tcPr>
          <w:p w14:paraId="0C526821"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Ganadería</w:t>
            </w:r>
          </w:p>
        </w:tc>
      </w:tr>
      <w:tr w:rsidR="00260BD1" w:rsidRPr="000C7C8C" w14:paraId="3704F429" w14:textId="77777777" w:rsidTr="00AA114A">
        <w:trPr>
          <w:trHeight w:val="690"/>
          <w:jc w:val="center"/>
        </w:trPr>
        <w:tc>
          <w:tcPr>
            <w:tcW w:w="6644" w:type="dxa"/>
            <w:vAlign w:val="center"/>
            <w:hideMark/>
          </w:tcPr>
          <w:p w14:paraId="2DE558D9"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Control de calidad de los mapas de cultivo de Canarias</w:t>
            </w:r>
          </w:p>
        </w:tc>
        <w:tc>
          <w:tcPr>
            <w:tcW w:w="1795" w:type="dxa"/>
            <w:vAlign w:val="center"/>
            <w:hideMark/>
          </w:tcPr>
          <w:p w14:paraId="528E4549"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15251784" w14:textId="77777777" w:rsidTr="00AA114A">
        <w:trPr>
          <w:trHeight w:val="915"/>
          <w:jc w:val="center"/>
        </w:trPr>
        <w:tc>
          <w:tcPr>
            <w:tcW w:w="6644" w:type="dxa"/>
            <w:vAlign w:val="center"/>
            <w:hideMark/>
          </w:tcPr>
          <w:p w14:paraId="54179F49"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a la gestión documental de expedientes de legalización de explotaciones ganaderas y controles de campo 2024</w:t>
            </w:r>
          </w:p>
        </w:tc>
        <w:tc>
          <w:tcPr>
            <w:tcW w:w="1795" w:type="dxa"/>
            <w:vAlign w:val="center"/>
            <w:hideMark/>
          </w:tcPr>
          <w:p w14:paraId="29469DEB"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Ganadería</w:t>
            </w:r>
          </w:p>
        </w:tc>
      </w:tr>
      <w:tr w:rsidR="00260BD1" w:rsidRPr="000C7C8C" w14:paraId="6827A75A" w14:textId="77777777" w:rsidTr="00AA114A">
        <w:trPr>
          <w:trHeight w:val="915"/>
          <w:jc w:val="center"/>
        </w:trPr>
        <w:tc>
          <w:tcPr>
            <w:tcW w:w="6644" w:type="dxa"/>
            <w:vAlign w:val="center"/>
            <w:hideMark/>
          </w:tcPr>
          <w:p w14:paraId="4B03DFF2"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Realización de auditor</w:t>
            </w:r>
            <w:r>
              <w:rPr>
                <w:rFonts w:cs="Arial"/>
                <w:sz w:val="16"/>
                <w:szCs w:val="16"/>
                <w:lang w:val="es-ES"/>
              </w:rPr>
              <w:t>í</w:t>
            </w:r>
            <w:r w:rsidRPr="000C7C8C">
              <w:rPr>
                <w:rFonts w:cs="Arial"/>
                <w:sz w:val="16"/>
                <w:szCs w:val="16"/>
                <w:lang w:val="es-ES"/>
              </w:rPr>
              <w:t>as a operadores de producción ecológica para el ejercicio 2024</w:t>
            </w:r>
          </w:p>
        </w:tc>
        <w:tc>
          <w:tcPr>
            <w:tcW w:w="1795" w:type="dxa"/>
            <w:vAlign w:val="center"/>
            <w:hideMark/>
          </w:tcPr>
          <w:p w14:paraId="6EB31B35"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Instituto Canario de Calidad Agroalimentaria</w:t>
            </w:r>
          </w:p>
        </w:tc>
      </w:tr>
      <w:tr w:rsidR="00260BD1" w:rsidRPr="000C7C8C" w14:paraId="38E171F6" w14:textId="77777777" w:rsidTr="00AA114A">
        <w:trPr>
          <w:trHeight w:val="915"/>
          <w:jc w:val="center"/>
        </w:trPr>
        <w:tc>
          <w:tcPr>
            <w:tcW w:w="6644" w:type="dxa"/>
            <w:vAlign w:val="center"/>
            <w:hideMark/>
          </w:tcPr>
          <w:p w14:paraId="544C2580"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Realización de diferentes verificaciones en campo y tareas técnicas de los servicios de sanidad vegetal y producción y registros agrícolas para las anualidades 2024 y 2025</w:t>
            </w:r>
          </w:p>
        </w:tc>
        <w:tc>
          <w:tcPr>
            <w:tcW w:w="1795" w:type="dxa"/>
            <w:vAlign w:val="center"/>
            <w:hideMark/>
          </w:tcPr>
          <w:p w14:paraId="0847785E"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4CB56FEE" w14:textId="77777777" w:rsidTr="00AA114A">
        <w:trPr>
          <w:trHeight w:val="690"/>
          <w:jc w:val="center"/>
        </w:trPr>
        <w:tc>
          <w:tcPr>
            <w:tcW w:w="6644" w:type="dxa"/>
            <w:vAlign w:val="center"/>
            <w:hideMark/>
          </w:tcPr>
          <w:p w14:paraId="3BDDAC9B"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Trabajos de campo del mapa de usos y aprovechamientos de Gran Canaria</w:t>
            </w:r>
          </w:p>
        </w:tc>
        <w:tc>
          <w:tcPr>
            <w:tcW w:w="1795" w:type="dxa"/>
            <w:vAlign w:val="center"/>
            <w:hideMark/>
          </w:tcPr>
          <w:p w14:paraId="42337FAA"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60F3328A" w14:textId="77777777" w:rsidTr="00AA114A">
        <w:trPr>
          <w:trHeight w:val="769"/>
          <w:jc w:val="center"/>
        </w:trPr>
        <w:tc>
          <w:tcPr>
            <w:tcW w:w="6644" w:type="dxa"/>
            <w:vAlign w:val="center"/>
            <w:hideMark/>
          </w:tcPr>
          <w:p w14:paraId="6793C8C3"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Elaboración del Mapa de Pastoreo de Canarias</w:t>
            </w:r>
          </w:p>
        </w:tc>
        <w:tc>
          <w:tcPr>
            <w:tcW w:w="1795" w:type="dxa"/>
            <w:vAlign w:val="center"/>
            <w:hideMark/>
          </w:tcPr>
          <w:p w14:paraId="2B89CFBC"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592E1F84" w14:textId="77777777" w:rsidTr="00AA114A">
        <w:trPr>
          <w:trHeight w:val="606"/>
          <w:jc w:val="center"/>
        </w:trPr>
        <w:tc>
          <w:tcPr>
            <w:tcW w:w="6644" w:type="dxa"/>
            <w:vAlign w:val="center"/>
            <w:hideMark/>
          </w:tcPr>
          <w:p w14:paraId="6CE6D0C4"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Monitoreo y control de diferentes plagas en el ámbito de la sanidad vegetal de Canarias</w:t>
            </w:r>
          </w:p>
        </w:tc>
        <w:tc>
          <w:tcPr>
            <w:tcW w:w="1795" w:type="dxa"/>
            <w:vAlign w:val="center"/>
            <w:hideMark/>
          </w:tcPr>
          <w:p w14:paraId="6DE3D9F9"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779FB929" w14:textId="77777777" w:rsidTr="00AA114A">
        <w:trPr>
          <w:trHeight w:val="690"/>
          <w:jc w:val="center"/>
        </w:trPr>
        <w:tc>
          <w:tcPr>
            <w:tcW w:w="6644" w:type="dxa"/>
            <w:vAlign w:val="center"/>
            <w:hideMark/>
          </w:tcPr>
          <w:p w14:paraId="597BE0BF"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El apoyo y asesoramiento en los procedimientos de contratación del ICCA, así como la impartición de cursos formativos de los procedimientos de contratación y manejo de la plataforma para el personal de los distintos servicios</w:t>
            </w:r>
          </w:p>
        </w:tc>
        <w:tc>
          <w:tcPr>
            <w:tcW w:w="1795" w:type="dxa"/>
            <w:vAlign w:val="center"/>
            <w:hideMark/>
          </w:tcPr>
          <w:p w14:paraId="0069D868"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Instituto Canario de Calidad Agroalimentaria</w:t>
            </w:r>
          </w:p>
        </w:tc>
      </w:tr>
      <w:tr w:rsidR="00260BD1" w:rsidRPr="000C7C8C" w14:paraId="7AA3A328" w14:textId="77777777" w:rsidTr="00AA114A">
        <w:trPr>
          <w:trHeight w:val="465"/>
          <w:jc w:val="center"/>
        </w:trPr>
        <w:tc>
          <w:tcPr>
            <w:tcW w:w="6644" w:type="dxa"/>
            <w:vAlign w:val="center"/>
            <w:hideMark/>
          </w:tcPr>
          <w:p w14:paraId="458F609E"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Trabajos técnicos de apoyo al Servicio de Capacitación Agraria</w:t>
            </w:r>
          </w:p>
        </w:tc>
        <w:tc>
          <w:tcPr>
            <w:tcW w:w="1795" w:type="dxa"/>
            <w:vAlign w:val="center"/>
            <w:hideMark/>
          </w:tcPr>
          <w:p w14:paraId="287A65E4"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329FDDCE" w14:textId="77777777" w:rsidTr="00AA114A">
        <w:trPr>
          <w:trHeight w:val="561"/>
          <w:jc w:val="center"/>
        </w:trPr>
        <w:tc>
          <w:tcPr>
            <w:tcW w:w="6644" w:type="dxa"/>
            <w:vAlign w:val="center"/>
            <w:hideMark/>
          </w:tcPr>
          <w:p w14:paraId="72B732BC"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Gestión del Banco Canario de Germoplasma animal 2024-2025</w:t>
            </w:r>
          </w:p>
        </w:tc>
        <w:tc>
          <w:tcPr>
            <w:tcW w:w="1795" w:type="dxa"/>
            <w:vAlign w:val="center"/>
            <w:hideMark/>
          </w:tcPr>
          <w:p w14:paraId="79224437"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Ganadería</w:t>
            </w:r>
          </w:p>
        </w:tc>
      </w:tr>
      <w:tr w:rsidR="00260BD1" w:rsidRPr="000C7C8C" w14:paraId="066FE143" w14:textId="77777777" w:rsidTr="00AA114A">
        <w:trPr>
          <w:trHeight w:val="690"/>
          <w:jc w:val="center"/>
        </w:trPr>
        <w:tc>
          <w:tcPr>
            <w:tcW w:w="6644" w:type="dxa"/>
            <w:vAlign w:val="center"/>
            <w:hideMark/>
          </w:tcPr>
          <w:p w14:paraId="3A0CEA00"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Desarrollar y ejecutar las acciones de gestión, control, seguimiento, evaluación y publicidad y otras acciones conexas del plan de consumo de frutas y hortalizas en los centros escolares públicos de canarias para el curso 2023-2024, en el marco del programa europeo de consumo de frutas y hortalizas en las escuelas.</w:t>
            </w:r>
          </w:p>
        </w:tc>
        <w:tc>
          <w:tcPr>
            <w:tcW w:w="1795" w:type="dxa"/>
            <w:vAlign w:val="center"/>
            <w:hideMark/>
          </w:tcPr>
          <w:p w14:paraId="1C79C464"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Instituto Canario de Calidad Agroalimentaria</w:t>
            </w:r>
          </w:p>
        </w:tc>
      </w:tr>
      <w:tr w:rsidR="00260BD1" w:rsidRPr="000C7C8C" w14:paraId="5AFCF7BA" w14:textId="77777777" w:rsidTr="00AA114A">
        <w:trPr>
          <w:trHeight w:val="690"/>
          <w:jc w:val="center"/>
        </w:trPr>
        <w:tc>
          <w:tcPr>
            <w:tcW w:w="6644" w:type="dxa"/>
            <w:vAlign w:val="center"/>
            <w:hideMark/>
          </w:tcPr>
          <w:p w14:paraId="0D216BE9"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lastRenderedPageBreak/>
              <w:t>Acción de gestión seguimiento, evaluación y publicidad y así como algunas medidas de acompañamiento y otras acciones conexas del plan de consumo de frutas y hortalizas en los centros escolares públicos de canarias para el curso 2024-2025 en el marco del programa europeo de consumo de frutas y hortalizas en las escuelas.</w:t>
            </w:r>
          </w:p>
        </w:tc>
        <w:tc>
          <w:tcPr>
            <w:tcW w:w="1795" w:type="dxa"/>
            <w:vAlign w:val="center"/>
            <w:hideMark/>
          </w:tcPr>
          <w:p w14:paraId="56356F55"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Instituto Canario de Calidad Agroalimentaria</w:t>
            </w:r>
          </w:p>
        </w:tc>
      </w:tr>
      <w:tr w:rsidR="00260BD1" w:rsidRPr="000C7C8C" w14:paraId="5F1C221C" w14:textId="77777777" w:rsidTr="00AA114A">
        <w:trPr>
          <w:trHeight w:val="690"/>
          <w:jc w:val="center"/>
        </w:trPr>
        <w:tc>
          <w:tcPr>
            <w:tcW w:w="6644" w:type="dxa"/>
            <w:vAlign w:val="center"/>
            <w:hideMark/>
          </w:tcPr>
          <w:p w14:paraId="35B89155"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Mantenimiento integral de diversos sistemas de información de la Consejería de Agricultura, Ganadería y Pesca.</w:t>
            </w:r>
          </w:p>
        </w:tc>
        <w:tc>
          <w:tcPr>
            <w:tcW w:w="1795" w:type="dxa"/>
            <w:vAlign w:val="center"/>
            <w:hideMark/>
          </w:tcPr>
          <w:p w14:paraId="04AC3FE7"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Secretaría General Técnica</w:t>
            </w:r>
          </w:p>
        </w:tc>
      </w:tr>
      <w:tr w:rsidR="00260BD1" w:rsidRPr="000C7C8C" w14:paraId="012BB81A" w14:textId="77777777" w:rsidTr="00AA114A">
        <w:trPr>
          <w:trHeight w:val="683"/>
          <w:jc w:val="center"/>
        </w:trPr>
        <w:tc>
          <w:tcPr>
            <w:tcW w:w="6644" w:type="dxa"/>
            <w:vAlign w:val="center"/>
            <w:hideMark/>
          </w:tcPr>
          <w:p w14:paraId="555577EB"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al Área de Ordenación Rural</w:t>
            </w:r>
          </w:p>
        </w:tc>
        <w:tc>
          <w:tcPr>
            <w:tcW w:w="1795" w:type="dxa"/>
            <w:vAlign w:val="center"/>
            <w:hideMark/>
          </w:tcPr>
          <w:p w14:paraId="4AE653DA"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44D81BEB" w14:textId="77777777" w:rsidTr="00AA114A">
        <w:trPr>
          <w:trHeight w:val="915"/>
          <w:jc w:val="center"/>
        </w:trPr>
        <w:tc>
          <w:tcPr>
            <w:tcW w:w="6644" w:type="dxa"/>
            <w:vAlign w:val="center"/>
            <w:hideMark/>
          </w:tcPr>
          <w:p w14:paraId="05427220"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Mantenimiento correctivo y evolutivo y en el desarrollo de nuevas funcionalidades del aplicativo web para la gestión de las ayudas tramitadas por el organismo pagador de Fondos Agrícolas Europeos (OPFAE) para las anualidades de 2024 y 2025</w:t>
            </w:r>
          </w:p>
        </w:tc>
        <w:tc>
          <w:tcPr>
            <w:tcW w:w="1795" w:type="dxa"/>
            <w:vAlign w:val="center"/>
            <w:hideMark/>
          </w:tcPr>
          <w:p w14:paraId="6120DD56"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Secretaria General Técnica/Viceconsejer</w:t>
            </w:r>
            <w:r>
              <w:rPr>
                <w:rFonts w:cs="Arial"/>
                <w:sz w:val="16"/>
                <w:szCs w:val="16"/>
                <w:lang w:val="es-ES"/>
              </w:rPr>
              <w:t>í</w:t>
            </w:r>
            <w:r w:rsidRPr="000C7C8C">
              <w:rPr>
                <w:rFonts w:cs="Arial"/>
                <w:sz w:val="16"/>
                <w:szCs w:val="16"/>
                <w:lang w:val="es-ES"/>
              </w:rPr>
              <w:t>a de Sector Primario</w:t>
            </w:r>
          </w:p>
        </w:tc>
      </w:tr>
      <w:tr w:rsidR="00260BD1" w:rsidRPr="000C7C8C" w14:paraId="2E1B5132" w14:textId="77777777" w:rsidTr="00AA114A">
        <w:trPr>
          <w:trHeight w:val="915"/>
          <w:jc w:val="center"/>
        </w:trPr>
        <w:tc>
          <w:tcPr>
            <w:tcW w:w="6644" w:type="dxa"/>
            <w:vAlign w:val="center"/>
            <w:hideMark/>
          </w:tcPr>
          <w:p w14:paraId="31B3E1A3"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Asistencia técnica para la aplicación de los fondos del Programa de Desarrollo Rural de Canarias (2014-2022) y el Plan Estratégico de la PAC 2023-2027 para el año 2024</w:t>
            </w:r>
          </w:p>
        </w:tc>
        <w:tc>
          <w:tcPr>
            <w:tcW w:w="1795" w:type="dxa"/>
            <w:vAlign w:val="center"/>
            <w:hideMark/>
          </w:tcPr>
          <w:p w14:paraId="5CE3E6D5"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73D52637" w14:textId="77777777" w:rsidTr="00AA114A">
        <w:trPr>
          <w:trHeight w:val="690"/>
          <w:jc w:val="center"/>
        </w:trPr>
        <w:tc>
          <w:tcPr>
            <w:tcW w:w="6644" w:type="dxa"/>
            <w:vAlign w:val="center"/>
            <w:hideMark/>
          </w:tcPr>
          <w:p w14:paraId="6906C081"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Apoyo en tareas técnicas de recopilación, procesado y comprobación de datos técnicos</w:t>
            </w:r>
          </w:p>
        </w:tc>
        <w:tc>
          <w:tcPr>
            <w:tcW w:w="1795" w:type="dxa"/>
            <w:vAlign w:val="center"/>
            <w:hideMark/>
          </w:tcPr>
          <w:p w14:paraId="431410CB"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Agricultura</w:t>
            </w:r>
          </w:p>
        </w:tc>
      </w:tr>
      <w:tr w:rsidR="00260BD1" w:rsidRPr="000C7C8C" w14:paraId="4103648B" w14:textId="77777777" w:rsidTr="00AA114A">
        <w:trPr>
          <w:trHeight w:val="690"/>
          <w:jc w:val="center"/>
        </w:trPr>
        <w:tc>
          <w:tcPr>
            <w:tcW w:w="6644" w:type="dxa"/>
            <w:vAlign w:val="center"/>
            <w:hideMark/>
          </w:tcPr>
          <w:p w14:paraId="53281074"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Actuaciones de recopilación de datos en campo a operadores de figuras de calidad diferenciada de Canarias para el ejercicio 2024</w:t>
            </w:r>
          </w:p>
        </w:tc>
        <w:tc>
          <w:tcPr>
            <w:tcW w:w="1795" w:type="dxa"/>
            <w:vAlign w:val="center"/>
            <w:hideMark/>
          </w:tcPr>
          <w:p w14:paraId="430C1160"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Instituto Canario de Calidad Agroalimentaria</w:t>
            </w:r>
          </w:p>
        </w:tc>
      </w:tr>
      <w:tr w:rsidR="00260BD1" w:rsidRPr="000C7C8C" w14:paraId="1818A630" w14:textId="77777777" w:rsidTr="00AA114A">
        <w:trPr>
          <w:trHeight w:val="465"/>
          <w:jc w:val="center"/>
        </w:trPr>
        <w:tc>
          <w:tcPr>
            <w:tcW w:w="6644" w:type="dxa"/>
            <w:vAlign w:val="center"/>
            <w:hideMark/>
          </w:tcPr>
          <w:p w14:paraId="3A350C14"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 xml:space="preserve">Realización de trabajos técnicos para el mantenimiento básico de las embarcaciones de inspección pesquera y de las tripulaciones de apoyo </w:t>
            </w:r>
            <w:r>
              <w:rPr>
                <w:rFonts w:cs="Arial"/>
                <w:sz w:val="16"/>
                <w:szCs w:val="16"/>
                <w:lang w:val="es-ES"/>
              </w:rPr>
              <w:t>a</w:t>
            </w:r>
            <w:r w:rsidRPr="000C7C8C">
              <w:rPr>
                <w:rFonts w:cs="Arial"/>
                <w:sz w:val="16"/>
                <w:szCs w:val="16"/>
                <w:lang w:val="es-ES"/>
              </w:rPr>
              <w:t xml:space="preserve"> las mismas</w:t>
            </w:r>
          </w:p>
        </w:tc>
        <w:tc>
          <w:tcPr>
            <w:tcW w:w="1795" w:type="dxa"/>
            <w:vAlign w:val="center"/>
            <w:hideMark/>
          </w:tcPr>
          <w:p w14:paraId="201D1E1B"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Pesca</w:t>
            </w:r>
          </w:p>
        </w:tc>
      </w:tr>
      <w:tr w:rsidR="00260BD1" w:rsidRPr="000C7C8C" w14:paraId="5E884075" w14:textId="77777777" w:rsidTr="00AA114A">
        <w:trPr>
          <w:trHeight w:val="690"/>
          <w:jc w:val="center"/>
        </w:trPr>
        <w:tc>
          <w:tcPr>
            <w:tcW w:w="6644" w:type="dxa"/>
            <w:vAlign w:val="center"/>
            <w:hideMark/>
          </w:tcPr>
          <w:p w14:paraId="04AC31A5"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Ampliación, actualización y mejora del plan de medidas antifraude de los sistemas de gestión y control de las ayudas de la política agrícola común (PAC), que incluye el fondo europeo agrícola de garantía (FEAGA) y el fondo europeo agrícola de desarrollo rural (FEADER)</w:t>
            </w:r>
          </w:p>
        </w:tc>
        <w:tc>
          <w:tcPr>
            <w:tcW w:w="1795" w:type="dxa"/>
            <w:vAlign w:val="center"/>
            <w:hideMark/>
          </w:tcPr>
          <w:p w14:paraId="5CF92EE0"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Viceconsejer</w:t>
            </w:r>
            <w:r>
              <w:rPr>
                <w:rFonts w:cs="Arial"/>
                <w:sz w:val="16"/>
                <w:szCs w:val="16"/>
                <w:lang w:val="es-ES"/>
              </w:rPr>
              <w:t>í</w:t>
            </w:r>
            <w:r w:rsidRPr="000C7C8C">
              <w:rPr>
                <w:rFonts w:cs="Arial"/>
                <w:sz w:val="16"/>
                <w:szCs w:val="16"/>
                <w:lang w:val="es-ES"/>
              </w:rPr>
              <w:t>a del Sector Primario</w:t>
            </w:r>
          </w:p>
        </w:tc>
      </w:tr>
      <w:tr w:rsidR="00260BD1" w:rsidRPr="000C7C8C" w14:paraId="5C6C7E3A" w14:textId="77777777" w:rsidTr="00AA114A">
        <w:trPr>
          <w:trHeight w:val="780"/>
          <w:jc w:val="center"/>
        </w:trPr>
        <w:tc>
          <w:tcPr>
            <w:tcW w:w="6644" w:type="dxa"/>
            <w:vAlign w:val="center"/>
            <w:hideMark/>
          </w:tcPr>
          <w:p w14:paraId="2C1DB6BA" w14:textId="77777777" w:rsidR="00260BD1" w:rsidRPr="000C7C8C" w:rsidRDefault="00260BD1" w:rsidP="00AA114A">
            <w:pPr>
              <w:spacing w:after="160" w:line="252" w:lineRule="auto"/>
              <w:rPr>
                <w:rFonts w:cs="Arial"/>
                <w:sz w:val="16"/>
                <w:szCs w:val="16"/>
                <w:lang w:val="es-ES"/>
              </w:rPr>
            </w:pPr>
            <w:r w:rsidRPr="000C7C8C">
              <w:rPr>
                <w:rFonts w:cs="Arial"/>
                <w:sz w:val="16"/>
                <w:szCs w:val="16"/>
                <w:lang w:val="es-ES"/>
              </w:rPr>
              <w:t>Convenio entre la consejería de agricultura, ganadería y pesca y la entidad Gestión del Medio Rural de Canarias, S.A.U., para la gestión del procedimiento de concesión directa de ayudas extraordinarias destinadas a paliar la difícil situación económica que atraviesa el sector ganadero de canarias tras la agresión contra Ucrania por parte de Rusia.</w:t>
            </w:r>
          </w:p>
        </w:tc>
        <w:tc>
          <w:tcPr>
            <w:tcW w:w="1795" w:type="dxa"/>
            <w:vAlign w:val="center"/>
            <w:hideMark/>
          </w:tcPr>
          <w:p w14:paraId="0AF7B878" w14:textId="77777777" w:rsidR="00260BD1" w:rsidRPr="000C7C8C" w:rsidRDefault="00260BD1" w:rsidP="00AA114A">
            <w:pPr>
              <w:spacing w:after="160" w:line="252" w:lineRule="auto"/>
              <w:jc w:val="center"/>
              <w:rPr>
                <w:rFonts w:cs="Arial"/>
                <w:sz w:val="16"/>
                <w:szCs w:val="16"/>
                <w:lang w:val="es-ES"/>
              </w:rPr>
            </w:pPr>
            <w:r w:rsidRPr="000C7C8C">
              <w:rPr>
                <w:rFonts w:cs="Arial"/>
                <w:sz w:val="16"/>
                <w:szCs w:val="16"/>
                <w:lang w:val="es-ES"/>
              </w:rPr>
              <w:t>Dirección General de Ganadería</w:t>
            </w:r>
          </w:p>
        </w:tc>
      </w:tr>
    </w:tbl>
    <w:p w14:paraId="49335E79" w14:textId="77777777" w:rsidR="00260BD1" w:rsidRPr="000E4115" w:rsidRDefault="00260BD1" w:rsidP="00260BD1">
      <w:pPr>
        <w:spacing w:after="160" w:line="252" w:lineRule="auto"/>
        <w:rPr>
          <w:rFonts w:cs="Arial"/>
          <w:szCs w:val="20"/>
        </w:rPr>
      </w:pPr>
    </w:p>
    <w:p w14:paraId="52BC14E8" w14:textId="77777777" w:rsidR="00260BD1" w:rsidRPr="000E4115" w:rsidRDefault="00260BD1" w:rsidP="00260BD1">
      <w:pPr>
        <w:spacing w:after="160" w:line="252" w:lineRule="auto"/>
      </w:pPr>
      <w:bookmarkStart w:id="130" w:name="_Hlk160612010"/>
      <w:bookmarkEnd w:id="129"/>
      <w:r w:rsidRPr="000E4115">
        <w:t>Además, se han recibido los siguientes encargos de la Consejería de Transición Ecológica, Lucha contra el Cambio Climático y Planificación Territorial:</w:t>
      </w:r>
    </w:p>
    <w:tbl>
      <w:tblPr>
        <w:tblW w:w="84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69"/>
        <w:gridCol w:w="2126"/>
      </w:tblGrid>
      <w:tr w:rsidR="00260BD1" w:rsidRPr="000C7C8C" w14:paraId="221F61B6" w14:textId="77777777" w:rsidTr="00260BD1">
        <w:trPr>
          <w:trHeight w:val="690"/>
          <w:jc w:val="center"/>
        </w:trPr>
        <w:tc>
          <w:tcPr>
            <w:tcW w:w="6369" w:type="dxa"/>
            <w:shd w:val="clear" w:color="auto" w:fill="BFBFBF" w:themeFill="background1" w:themeFillShade="BF"/>
            <w:vAlign w:val="center"/>
            <w:hideMark/>
          </w:tcPr>
          <w:p w14:paraId="147AF707" w14:textId="77777777" w:rsidR="00260BD1" w:rsidRPr="000C7C8C" w:rsidRDefault="00260BD1" w:rsidP="00AA114A">
            <w:pPr>
              <w:spacing w:after="160" w:line="252" w:lineRule="auto"/>
              <w:rPr>
                <w:b/>
                <w:bCs/>
                <w:sz w:val="16"/>
                <w:szCs w:val="16"/>
                <w:lang w:val="es-ES"/>
              </w:rPr>
            </w:pPr>
            <w:r w:rsidRPr="000C7C8C">
              <w:rPr>
                <w:b/>
                <w:bCs/>
                <w:sz w:val="16"/>
                <w:szCs w:val="16"/>
                <w:lang w:val="es-ES"/>
              </w:rPr>
              <w:t>Descripción del encargo</w:t>
            </w:r>
          </w:p>
        </w:tc>
        <w:tc>
          <w:tcPr>
            <w:tcW w:w="2126" w:type="dxa"/>
            <w:shd w:val="clear" w:color="auto" w:fill="BFBFBF" w:themeFill="background1" w:themeFillShade="BF"/>
            <w:vAlign w:val="center"/>
            <w:hideMark/>
          </w:tcPr>
          <w:p w14:paraId="4C638CDA" w14:textId="77777777" w:rsidR="00260BD1" w:rsidRPr="000C7C8C" w:rsidRDefault="00260BD1" w:rsidP="00AA114A">
            <w:pPr>
              <w:spacing w:after="160" w:line="252" w:lineRule="auto"/>
              <w:rPr>
                <w:b/>
                <w:bCs/>
                <w:sz w:val="16"/>
                <w:szCs w:val="16"/>
                <w:lang w:val="es-ES"/>
              </w:rPr>
            </w:pPr>
            <w:r w:rsidRPr="000C7C8C">
              <w:rPr>
                <w:b/>
                <w:bCs/>
                <w:sz w:val="16"/>
                <w:szCs w:val="16"/>
                <w:lang w:val="es-ES"/>
              </w:rPr>
              <w:t>Dirección General</w:t>
            </w:r>
          </w:p>
        </w:tc>
      </w:tr>
      <w:tr w:rsidR="00260BD1" w:rsidRPr="000C7C8C" w14:paraId="08B2FA9B" w14:textId="77777777" w:rsidTr="00260BD1">
        <w:trPr>
          <w:trHeight w:val="765"/>
          <w:jc w:val="center"/>
        </w:trPr>
        <w:tc>
          <w:tcPr>
            <w:tcW w:w="6369" w:type="dxa"/>
            <w:vAlign w:val="center"/>
            <w:hideMark/>
          </w:tcPr>
          <w:p w14:paraId="28F446C7" w14:textId="77777777" w:rsidR="00260BD1" w:rsidRPr="000C7C8C" w:rsidRDefault="00260BD1" w:rsidP="00AA114A">
            <w:pPr>
              <w:spacing w:after="160" w:line="252" w:lineRule="auto"/>
              <w:rPr>
                <w:sz w:val="16"/>
                <w:szCs w:val="16"/>
                <w:lang w:val="es-ES"/>
              </w:rPr>
            </w:pPr>
            <w:r w:rsidRPr="000C7C8C">
              <w:rPr>
                <w:sz w:val="16"/>
                <w:szCs w:val="16"/>
                <w:lang w:val="es-ES"/>
              </w:rPr>
              <w:t>Ejecución del Plan de control y erradicación de la Diocalandra Frumenti en las palmeras de Lanzarote</w:t>
            </w:r>
          </w:p>
        </w:tc>
        <w:tc>
          <w:tcPr>
            <w:tcW w:w="2126" w:type="dxa"/>
            <w:vAlign w:val="center"/>
            <w:hideMark/>
          </w:tcPr>
          <w:p w14:paraId="3E4C1AF5" w14:textId="77777777" w:rsidR="00260BD1" w:rsidRPr="000C7C8C" w:rsidRDefault="00260BD1" w:rsidP="00AA114A">
            <w:pPr>
              <w:spacing w:after="160" w:line="252" w:lineRule="auto"/>
              <w:jc w:val="center"/>
              <w:rPr>
                <w:sz w:val="16"/>
                <w:szCs w:val="16"/>
                <w:lang w:val="es-ES"/>
              </w:rPr>
            </w:pPr>
            <w:r w:rsidRPr="000C7C8C">
              <w:rPr>
                <w:sz w:val="16"/>
                <w:szCs w:val="16"/>
                <w:lang w:val="es-ES"/>
              </w:rPr>
              <w:t>Viceconsejería de Lucha contra el Cambio Climático y Transición Ecológica</w:t>
            </w:r>
          </w:p>
        </w:tc>
      </w:tr>
      <w:tr w:rsidR="00260BD1" w:rsidRPr="000C7C8C" w14:paraId="69229383" w14:textId="77777777" w:rsidTr="00260BD1">
        <w:trPr>
          <w:trHeight w:val="895"/>
          <w:jc w:val="center"/>
        </w:trPr>
        <w:tc>
          <w:tcPr>
            <w:tcW w:w="6369" w:type="dxa"/>
            <w:vAlign w:val="center"/>
            <w:hideMark/>
          </w:tcPr>
          <w:p w14:paraId="5544B85E" w14:textId="77777777" w:rsidR="00260BD1" w:rsidRPr="000C7C8C" w:rsidRDefault="00260BD1" w:rsidP="00AA114A">
            <w:pPr>
              <w:spacing w:after="160" w:line="252" w:lineRule="auto"/>
              <w:rPr>
                <w:sz w:val="16"/>
                <w:szCs w:val="16"/>
                <w:lang w:val="es-ES"/>
              </w:rPr>
            </w:pPr>
            <w:r w:rsidRPr="000C7C8C">
              <w:rPr>
                <w:sz w:val="16"/>
                <w:szCs w:val="16"/>
                <w:lang w:val="es-ES"/>
              </w:rPr>
              <w:t>Plan estratégico integral para la recuperación y desarrollo del cultivo de la higuera y el almendro en la isla de El Hierro</w:t>
            </w:r>
          </w:p>
        </w:tc>
        <w:tc>
          <w:tcPr>
            <w:tcW w:w="2126" w:type="dxa"/>
            <w:vAlign w:val="center"/>
            <w:hideMark/>
          </w:tcPr>
          <w:p w14:paraId="4861C07F" w14:textId="77777777" w:rsidR="00260BD1" w:rsidRPr="000C7C8C" w:rsidRDefault="00260BD1" w:rsidP="00AA114A">
            <w:pPr>
              <w:spacing w:after="160" w:line="252" w:lineRule="auto"/>
              <w:jc w:val="center"/>
              <w:rPr>
                <w:sz w:val="16"/>
                <w:szCs w:val="16"/>
                <w:lang w:val="es-ES"/>
              </w:rPr>
            </w:pPr>
            <w:r w:rsidRPr="000C7C8C">
              <w:rPr>
                <w:sz w:val="16"/>
                <w:szCs w:val="16"/>
                <w:lang w:val="es-ES"/>
              </w:rPr>
              <w:t>Viceconsejería de Lucha contra el Cambio Climático y Transición Ecológica</w:t>
            </w:r>
          </w:p>
        </w:tc>
      </w:tr>
      <w:tr w:rsidR="00260BD1" w:rsidRPr="000C7C8C" w14:paraId="2EEB3E5A" w14:textId="77777777" w:rsidTr="00260BD1">
        <w:trPr>
          <w:trHeight w:val="869"/>
          <w:jc w:val="center"/>
        </w:trPr>
        <w:tc>
          <w:tcPr>
            <w:tcW w:w="6369" w:type="dxa"/>
            <w:vAlign w:val="center"/>
            <w:hideMark/>
          </w:tcPr>
          <w:p w14:paraId="6E81FE73" w14:textId="77777777" w:rsidR="00260BD1" w:rsidRPr="000C7C8C" w:rsidRDefault="00260BD1" w:rsidP="00AA114A">
            <w:pPr>
              <w:spacing w:after="160" w:line="252" w:lineRule="auto"/>
              <w:rPr>
                <w:sz w:val="16"/>
                <w:szCs w:val="16"/>
                <w:lang w:val="es-ES"/>
              </w:rPr>
            </w:pPr>
            <w:r w:rsidRPr="000C7C8C">
              <w:rPr>
                <w:sz w:val="16"/>
                <w:szCs w:val="16"/>
                <w:lang w:val="es-ES"/>
              </w:rPr>
              <w:t>Valorización de la diversidad agroforestal de la isla de la palma y su mantenimiento como activo frente a los incendios forestales en la interfaz urbano-forestal.</w:t>
            </w:r>
          </w:p>
        </w:tc>
        <w:tc>
          <w:tcPr>
            <w:tcW w:w="2126" w:type="dxa"/>
            <w:vAlign w:val="center"/>
            <w:hideMark/>
          </w:tcPr>
          <w:p w14:paraId="0C0B7745" w14:textId="77777777" w:rsidR="00260BD1" w:rsidRPr="000C7C8C" w:rsidRDefault="00260BD1" w:rsidP="00AA114A">
            <w:pPr>
              <w:spacing w:after="160" w:line="252" w:lineRule="auto"/>
              <w:jc w:val="center"/>
              <w:rPr>
                <w:sz w:val="16"/>
                <w:szCs w:val="16"/>
                <w:lang w:val="es-ES"/>
              </w:rPr>
            </w:pPr>
            <w:r w:rsidRPr="000C7C8C">
              <w:rPr>
                <w:sz w:val="16"/>
                <w:szCs w:val="16"/>
                <w:lang w:val="es-ES"/>
              </w:rPr>
              <w:t>Viceconsejería de Lucha contra el Cambio Climático y Transición Ecológica</w:t>
            </w:r>
          </w:p>
        </w:tc>
      </w:tr>
      <w:tr w:rsidR="00260BD1" w:rsidRPr="000C7C8C" w14:paraId="280D1BDA" w14:textId="77777777" w:rsidTr="00260BD1">
        <w:trPr>
          <w:trHeight w:val="970"/>
          <w:jc w:val="center"/>
        </w:trPr>
        <w:tc>
          <w:tcPr>
            <w:tcW w:w="6369" w:type="dxa"/>
            <w:vAlign w:val="center"/>
            <w:hideMark/>
          </w:tcPr>
          <w:p w14:paraId="11C3C396" w14:textId="77777777" w:rsidR="00260BD1" w:rsidRPr="000C7C8C" w:rsidRDefault="00260BD1" w:rsidP="00AA114A">
            <w:pPr>
              <w:spacing w:after="160" w:line="252" w:lineRule="auto"/>
              <w:rPr>
                <w:sz w:val="16"/>
                <w:szCs w:val="16"/>
                <w:lang w:val="es-ES"/>
              </w:rPr>
            </w:pPr>
            <w:r w:rsidRPr="000C7C8C">
              <w:rPr>
                <w:sz w:val="16"/>
                <w:szCs w:val="16"/>
                <w:lang w:val="es-ES"/>
              </w:rPr>
              <w:lastRenderedPageBreak/>
              <w:t>Mejora del conocimiento del cambio climático y propuesta de medidas de acción climática para el sector agropecuario de canarias.</w:t>
            </w:r>
          </w:p>
        </w:tc>
        <w:tc>
          <w:tcPr>
            <w:tcW w:w="2126" w:type="dxa"/>
            <w:vAlign w:val="center"/>
            <w:hideMark/>
          </w:tcPr>
          <w:p w14:paraId="1E331082" w14:textId="77777777" w:rsidR="00260BD1" w:rsidRPr="000C7C8C" w:rsidRDefault="00260BD1" w:rsidP="00AA114A">
            <w:pPr>
              <w:spacing w:after="160" w:line="252" w:lineRule="auto"/>
              <w:jc w:val="center"/>
              <w:rPr>
                <w:sz w:val="16"/>
                <w:szCs w:val="16"/>
                <w:lang w:val="es-ES"/>
              </w:rPr>
            </w:pPr>
            <w:r w:rsidRPr="000C7C8C">
              <w:rPr>
                <w:sz w:val="16"/>
                <w:szCs w:val="16"/>
                <w:lang w:val="es-ES"/>
              </w:rPr>
              <w:t>Viceconsejería de Lucha contra el Cambio Climático y Transición Ecológica</w:t>
            </w:r>
          </w:p>
        </w:tc>
      </w:tr>
    </w:tbl>
    <w:p w14:paraId="19F23EC2" w14:textId="77777777" w:rsidR="00260BD1" w:rsidRDefault="00260BD1" w:rsidP="00260BD1">
      <w:pPr>
        <w:spacing w:after="160" w:line="252" w:lineRule="auto"/>
      </w:pPr>
    </w:p>
    <w:p w14:paraId="7D5E53AB" w14:textId="77777777" w:rsidR="00260BD1" w:rsidRPr="000E4115" w:rsidRDefault="00260BD1" w:rsidP="00260BD1">
      <w:pPr>
        <w:spacing w:after="160" w:line="252" w:lineRule="auto"/>
      </w:pPr>
      <w:r>
        <w:t>Finalmente, cabe destacar que en 2024 la Sociedad se ha convertido en medio propio de Cabildo Insular de Tenerife, incorporando un miembro en representación del Cabildo en el Consejo de Administración.</w:t>
      </w:r>
    </w:p>
    <w:bookmarkEnd w:id="130"/>
    <w:p w14:paraId="3051EE44" w14:textId="77777777" w:rsidR="00260BD1" w:rsidRPr="000E4115" w:rsidRDefault="00260BD1" w:rsidP="00260BD1">
      <w:pPr>
        <w:spacing w:after="160" w:line="256" w:lineRule="auto"/>
        <w:rPr>
          <w:rFonts w:eastAsia="Calibri" w:cs="Arial"/>
          <w:color w:val="FF0000"/>
          <w:szCs w:val="20"/>
          <w:u w:val="single"/>
        </w:rPr>
      </w:pPr>
      <w:r w:rsidRPr="00A5187C">
        <w:rPr>
          <w:rFonts w:eastAsia="Calibri" w:cs="Arial"/>
          <w:szCs w:val="20"/>
          <w:u w:val="single"/>
        </w:rPr>
        <w:t>Servicios centrales</w:t>
      </w:r>
      <w:r>
        <w:rPr>
          <w:rFonts w:eastAsia="Calibri" w:cs="Arial"/>
          <w:szCs w:val="20"/>
          <w:u w:val="single"/>
        </w:rPr>
        <w:t xml:space="preserve"> </w:t>
      </w:r>
    </w:p>
    <w:p w14:paraId="522E7C1F" w14:textId="77777777" w:rsidR="00260BD1" w:rsidRDefault="00260BD1" w:rsidP="00260BD1">
      <w:pPr>
        <w:rPr>
          <w:rFonts w:eastAsia="Calibri" w:cs="Arial"/>
          <w:szCs w:val="20"/>
          <w:lang w:val="es-ES"/>
        </w:rPr>
      </w:pPr>
      <w:r w:rsidRPr="00961A26">
        <w:rPr>
          <w:rFonts w:eastAsia="Calibri" w:cs="Arial"/>
          <w:szCs w:val="20"/>
          <w:lang w:val="es-ES"/>
        </w:rPr>
        <w:t>En relación con las contrataciones del año 2024, se han realizado 22 procesos de selección entre las dos provincias, donde se han ofertado diversos perfiles: Ingenieros/as, Técnicos de Proyectos, Programadores/as, Administrativos/as, Capataces Agrícolas y Pecuarios, Técnicos Jurídicos</w:t>
      </w:r>
      <w:r>
        <w:rPr>
          <w:rFonts w:eastAsia="Calibri" w:cs="Arial"/>
          <w:szCs w:val="20"/>
          <w:lang w:val="es-ES"/>
        </w:rPr>
        <w:t>,</w:t>
      </w:r>
      <w:r w:rsidRPr="00961A26">
        <w:rPr>
          <w:rFonts w:eastAsia="Calibri" w:cs="Arial"/>
          <w:szCs w:val="20"/>
          <w:lang w:val="es-ES"/>
        </w:rPr>
        <w:t xml:space="preserve"> etc. Este aumento en el número de procesos selectivos tiene por objeto la cobertura de puestos de trabajo enmarcados en el Acuerdo de Gobierno adoptado en la sesión celebrada el día 15 de diciembre de 2022</w:t>
      </w:r>
      <w:r>
        <w:rPr>
          <w:rFonts w:eastAsia="Calibri" w:cs="Arial"/>
          <w:szCs w:val="20"/>
          <w:lang w:val="es-ES"/>
        </w:rPr>
        <w:t>,</w:t>
      </w:r>
      <w:r w:rsidRPr="00961A26">
        <w:rPr>
          <w:rFonts w:eastAsia="Calibri" w:cs="Arial"/>
          <w:szCs w:val="20"/>
          <w:lang w:val="es-ES"/>
        </w:rPr>
        <w:t xml:space="preserve"> por el que se aprobó el Instrumento de Planificación Estratégica 2022-2024 de </w:t>
      </w:r>
      <w:r>
        <w:rPr>
          <w:rFonts w:eastAsia="Calibri" w:cs="Arial"/>
          <w:szCs w:val="20"/>
          <w:lang w:val="es-ES"/>
        </w:rPr>
        <w:t>la Sociedad</w:t>
      </w:r>
      <w:r w:rsidRPr="00961A26">
        <w:rPr>
          <w:rFonts w:eastAsia="Calibri" w:cs="Arial"/>
          <w:szCs w:val="20"/>
          <w:lang w:val="es-ES"/>
        </w:rPr>
        <w:t xml:space="preserve">. Al mismo tiempo se elaboraron 3 Bolsas de Trabajo de determinados perfiles, como Veterinarios, Técnicos de campo y Capataces agrícolas para proyectos. </w:t>
      </w:r>
    </w:p>
    <w:p w14:paraId="447B7D5B" w14:textId="77777777" w:rsidR="00FF3335" w:rsidRPr="00961A26" w:rsidRDefault="00FF3335" w:rsidP="00260BD1">
      <w:pPr>
        <w:rPr>
          <w:rFonts w:eastAsia="Calibri" w:cs="Arial"/>
          <w:szCs w:val="20"/>
          <w:lang w:val="es-ES"/>
        </w:rPr>
      </w:pPr>
    </w:p>
    <w:p w14:paraId="5C5C8DCC" w14:textId="77777777" w:rsidR="00260BD1" w:rsidRPr="00961A26" w:rsidRDefault="00260BD1" w:rsidP="00260BD1">
      <w:pPr>
        <w:rPr>
          <w:rFonts w:eastAsia="Calibri" w:cs="Arial"/>
          <w:szCs w:val="20"/>
          <w:lang w:val="es-ES"/>
        </w:rPr>
      </w:pPr>
      <w:r w:rsidRPr="00961A26">
        <w:rPr>
          <w:rFonts w:eastAsia="Calibri" w:cs="Arial"/>
          <w:szCs w:val="20"/>
          <w:lang w:val="es-ES"/>
        </w:rPr>
        <w:t xml:space="preserve">Respecto a la formación, se han realizado un total de 30 acciones formativas, de las cuales 15 fueron bonificadas a través de la Fundación Estatal para la Formación en el Empleo. </w:t>
      </w:r>
    </w:p>
    <w:p w14:paraId="65B8B176" w14:textId="77777777" w:rsidR="00260BD1" w:rsidRPr="00961A26" w:rsidRDefault="00260BD1" w:rsidP="00260BD1">
      <w:pPr>
        <w:rPr>
          <w:rFonts w:eastAsia="Calibri" w:cs="Arial"/>
          <w:szCs w:val="20"/>
          <w:lang w:val="es-ES"/>
        </w:rPr>
      </w:pPr>
    </w:p>
    <w:p w14:paraId="797CDA59" w14:textId="77777777" w:rsidR="00260BD1" w:rsidRDefault="00260BD1" w:rsidP="00260BD1">
      <w:pPr>
        <w:rPr>
          <w:rFonts w:eastAsia="Calibri" w:cs="Arial"/>
          <w:szCs w:val="20"/>
          <w:lang w:val="es-ES"/>
        </w:rPr>
      </w:pPr>
      <w:r w:rsidRPr="00961A26">
        <w:rPr>
          <w:rFonts w:eastAsia="Calibri" w:cs="Arial"/>
          <w:szCs w:val="20"/>
          <w:lang w:val="es-ES"/>
        </w:rPr>
        <w:t>A lo largo del año 2024, la Sociedad ha acogido a un total de 11 alumnos/as en prácticas procedentes del IES Gran Tarajal; CIFP César Manrique; IES Canarias; IES Teguise y Universidad de La Laguna.</w:t>
      </w:r>
    </w:p>
    <w:p w14:paraId="45D18A68" w14:textId="77777777" w:rsidR="00260BD1" w:rsidRDefault="00260BD1" w:rsidP="00260BD1">
      <w:pPr>
        <w:rPr>
          <w:rFonts w:eastAsia="Calibri" w:cs="Arial"/>
          <w:szCs w:val="20"/>
          <w:lang w:val="es-ES"/>
        </w:rPr>
      </w:pPr>
    </w:p>
    <w:p w14:paraId="12B79E36" w14:textId="44A2722C" w:rsidR="00260BD1" w:rsidRPr="00706AB4" w:rsidRDefault="00260BD1" w:rsidP="00260BD1">
      <w:pPr>
        <w:rPr>
          <w:rFonts w:eastAsia="Calibri" w:cs="Arial"/>
          <w:szCs w:val="20"/>
          <w:lang w:val="es-ES"/>
        </w:rPr>
      </w:pPr>
      <w:bookmarkStart w:id="131" w:name="_Hlk191462067"/>
      <w:r w:rsidRPr="0086750F">
        <w:rPr>
          <w:rFonts w:eastAsia="Calibri" w:cs="Arial"/>
          <w:szCs w:val="20"/>
          <w:lang w:val="es-ES"/>
        </w:rPr>
        <w:t>La Sociedad ha distribuido</w:t>
      </w:r>
      <w:r w:rsidR="001B0A04">
        <w:rPr>
          <w:rFonts w:eastAsia="Calibri" w:cs="Arial"/>
          <w:szCs w:val="20"/>
          <w:lang w:val="es-ES"/>
        </w:rPr>
        <w:t>,</w:t>
      </w:r>
      <w:r w:rsidRPr="0086750F">
        <w:rPr>
          <w:rFonts w:eastAsia="Calibri" w:cs="Arial"/>
          <w:szCs w:val="20"/>
          <w:lang w:val="es-ES"/>
        </w:rPr>
        <w:t xml:space="preserve"> a través del Departamento Financiero y como entidad colaboradora de las </w:t>
      </w:r>
      <w:r w:rsidRPr="00D505D0">
        <w:rPr>
          <w:rFonts w:eastAsia="Calibri" w:cs="Arial"/>
          <w:szCs w:val="20"/>
          <w:lang w:val="es-ES"/>
        </w:rPr>
        <w:t>Consejerías de Agricultura, Ganadería, Pesca y Soberanía Alimentaria y de Presidencia, Administraciones Públicas, Justicia y Seguridad</w:t>
      </w:r>
      <w:r w:rsidR="001B0A04" w:rsidRPr="00D505D0">
        <w:rPr>
          <w:rFonts w:eastAsia="Calibri" w:cs="Arial"/>
          <w:szCs w:val="20"/>
          <w:lang w:val="es-ES"/>
        </w:rPr>
        <w:t>,</w:t>
      </w:r>
      <w:r w:rsidRPr="00D505D0">
        <w:rPr>
          <w:rFonts w:eastAsia="Calibri" w:cs="Arial"/>
          <w:szCs w:val="20"/>
          <w:lang w:val="es-ES"/>
        </w:rPr>
        <w:t xml:space="preserve"> en virtud de diversos encargos, un total de 5 ayudas</w:t>
      </w:r>
      <w:r w:rsidR="00EA70AD" w:rsidRPr="00D505D0">
        <w:rPr>
          <w:rFonts w:eastAsia="Calibri" w:cs="Arial"/>
          <w:szCs w:val="20"/>
          <w:lang w:val="es-ES"/>
        </w:rPr>
        <w:t xml:space="preserve"> </w:t>
      </w:r>
      <w:r w:rsidR="00EA70AD" w:rsidRPr="00706AB4">
        <w:rPr>
          <w:rFonts w:eastAsia="Calibri" w:cs="Arial"/>
          <w:szCs w:val="20"/>
          <w:lang w:val="es-ES"/>
        </w:rPr>
        <w:t>a 4.923 beneficiarios</w:t>
      </w:r>
      <w:r w:rsidRPr="00706AB4">
        <w:rPr>
          <w:rFonts w:eastAsia="Calibri" w:cs="Arial"/>
          <w:szCs w:val="20"/>
          <w:lang w:val="es-ES"/>
        </w:rPr>
        <w:t xml:space="preserve">, por importe </w:t>
      </w:r>
      <w:r w:rsidR="008C7DAD" w:rsidRPr="00706AB4">
        <w:rPr>
          <w:rFonts w:eastAsia="Calibri" w:cs="Arial"/>
          <w:szCs w:val="20"/>
          <w:lang w:val="es-ES"/>
        </w:rPr>
        <w:t>total de 81.676.427,08</w:t>
      </w:r>
      <w:r w:rsidR="00EA70AD" w:rsidRPr="00706AB4">
        <w:rPr>
          <w:rFonts w:eastAsia="Calibri" w:cs="Arial"/>
          <w:szCs w:val="20"/>
          <w:lang w:val="es-ES"/>
        </w:rPr>
        <w:t xml:space="preserve"> euros</w:t>
      </w:r>
      <w:r w:rsidR="008C7DAD" w:rsidRPr="00706AB4">
        <w:rPr>
          <w:rFonts w:eastAsia="Calibri" w:cs="Arial"/>
          <w:szCs w:val="20"/>
          <w:lang w:val="es-ES"/>
        </w:rPr>
        <w:t xml:space="preserve">, </w:t>
      </w:r>
      <w:r w:rsidRPr="00706AB4">
        <w:rPr>
          <w:rFonts w:eastAsia="Calibri" w:cs="Arial"/>
          <w:szCs w:val="20"/>
          <w:lang w:val="es-ES"/>
        </w:rPr>
        <w:t>según el siguiente detalle:</w:t>
      </w:r>
    </w:p>
    <w:bookmarkEnd w:id="131"/>
    <w:p w14:paraId="49EF1F1D" w14:textId="2FBD30DA" w:rsidR="000C06D5" w:rsidRPr="000C06D5" w:rsidRDefault="00260BD1" w:rsidP="00260BD1">
      <w:pPr>
        <w:spacing w:after="160" w:line="256" w:lineRule="auto"/>
        <w:rPr>
          <w:rFonts w:asciiTheme="minorHAnsi" w:eastAsiaTheme="minorHAnsi" w:hAnsiTheme="minorHAnsi" w:cstheme="minorBidi"/>
          <w:kern w:val="2"/>
          <w:sz w:val="24"/>
          <w:lang w:val="es-ES"/>
          <w14:ligatures w14:val="standardContextual"/>
        </w:rPr>
      </w:pPr>
      <w:r w:rsidRPr="00706AB4">
        <w:rPr>
          <w:rFonts w:eastAsia="Calibri"/>
          <w:lang w:val="es-ES"/>
        </w:rPr>
        <w:fldChar w:fldCharType="begin"/>
      </w:r>
      <w:r w:rsidRPr="00706AB4">
        <w:rPr>
          <w:rFonts w:eastAsia="Calibri"/>
          <w:lang w:val="es-ES"/>
        </w:rPr>
        <w:instrText xml:space="preserve"> LINK </w:instrText>
      </w:r>
      <w:r w:rsidR="000C06D5">
        <w:rPr>
          <w:rFonts w:eastAsia="Calibri"/>
          <w:lang w:val="es-ES"/>
        </w:rPr>
        <w:instrText xml:space="preserve">Excel.Sheet.12 "C:\\Users\\josejimman\\Documents\\JOSE MARIA JIMENEZ\\2 FINANCIERO\\CIERRES\\2024\\CUENTAS ANUALES 2024\\Copia de cuadros CCAA 16_.xlsx" "ayudas por línea!F1C1:F7C2" </w:instrText>
      </w:r>
      <w:r w:rsidRPr="00706AB4">
        <w:rPr>
          <w:rFonts w:eastAsia="Calibri"/>
          <w:lang w:val="es-ES"/>
        </w:rPr>
        <w:instrText xml:space="preserve">\a \f 4 \h  \* MERGEFORMAT </w:instrText>
      </w:r>
      <w:r w:rsidRPr="00706AB4">
        <w:rPr>
          <w:rFonts w:eastAsia="Calibri"/>
          <w:lang w:val="es-ES"/>
        </w:rPr>
        <w:fldChar w:fldCharType="separate"/>
      </w:r>
    </w:p>
    <w:tbl>
      <w:tblPr>
        <w:tblW w:w="5880" w:type="dxa"/>
        <w:jc w:val="center"/>
        <w:tblCellMar>
          <w:left w:w="70" w:type="dxa"/>
          <w:right w:w="70" w:type="dxa"/>
        </w:tblCellMar>
        <w:tblLook w:val="04A0" w:firstRow="1" w:lastRow="0" w:firstColumn="1" w:lastColumn="0" w:noHBand="0" w:noVBand="1"/>
      </w:tblPr>
      <w:tblGrid>
        <w:gridCol w:w="4440"/>
        <w:gridCol w:w="1440"/>
      </w:tblGrid>
      <w:tr w:rsidR="000C06D5" w:rsidRPr="000C06D5" w14:paraId="55B78B0B" w14:textId="77777777" w:rsidTr="000C06D5">
        <w:trPr>
          <w:divId w:val="1252203000"/>
          <w:trHeight w:val="300"/>
          <w:jc w:val="center"/>
        </w:trPr>
        <w:tc>
          <w:tcPr>
            <w:tcW w:w="4440" w:type="dxa"/>
            <w:tcBorders>
              <w:top w:val="single" w:sz="4" w:space="0" w:color="auto"/>
              <w:left w:val="nil"/>
              <w:bottom w:val="single" w:sz="4" w:space="0" w:color="auto"/>
            </w:tcBorders>
            <w:shd w:val="clear" w:color="000000" w:fill="D9D9D9"/>
            <w:noWrap/>
            <w:vAlign w:val="bottom"/>
            <w:hideMark/>
          </w:tcPr>
          <w:p w14:paraId="5759E240" w14:textId="7316BA1F" w:rsidR="000C06D5" w:rsidRPr="000C06D5" w:rsidRDefault="000C06D5" w:rsidP="000C06D5">
            <w:pPr>
              <w:jc w:val="left"/>
              <w:rPr>
                <w:rFonts w:ascii="Calibri" w:hAnsi="Calibri" w:cs="Calibri"/>
                <w:b/>
                <w:bCs/>
                <w:sz w:val="16"/>
                <w:szCs w:val="16"/>
                <w:lang w:val="es-ES" w:eastAsia="es-ES"/>
              </w:rPr>
            </w:pPr>
            <w:r w:rsidRPr="000C06D5">
              <w:rPr>
                <w:rFonts w:ascii="Calibri" w:hAnsi="Calibri" w:cs="Calibri"/>
                <w:b/>
                <w:bCs/>
                <w:sz w:val="16"/>
                <w:szCs w:val="16"/>
                <w:lang w:val="es-ES" w:eastAsia="es-ES"/>
              </w:rPr>
              <w:t>Descripción ayuda</w:t>
            </w:r>
          </w:p>
        </w:tc>
        <w:tc>
          <w:tcPr>
            <w:tcW w:w="1440" w:type="dxa"/>
            <w:tcBorders>
              <w:top w:val="single" w:sz="4" w:space="0" w:color="auto"/>
              <w:bottom w:val="single" w:sz="4" w:space="0" w:color="auto"/>
              <w:right w:val="nil"/>
            </w:tcBorders>
            <w:shd w:val="clear" w:color="000000" w:fill="D9D9D9"/>
            <w:noWrap/>
            <w:vAlign w:val="bottom"/>
            <w:hideMark/>
          </w:tcPr>
          <w:p w14:paraId="2E498672" w14:textId="77777777" w:rsidR="000C06D5" w:rsidRPr="000C06D5" w:rsidRDefault="000C06D5" w:rsidP="000C06D5">
            <w:pPr>
              <w:jc w:val="right"/>
              <w:rPr>
                <w:rFonts w:ascii="Calibri" w:hAnsi="Calibri" w:cs="Calibri"/>
                <w:b/>
                <w:bCs/>
                <w:sz w:val="16"/>
                <w:szCs w:val="16"/>
                <w:lang w:val="es-ES" w:eastAsia="es-ES"/>
              </w:rPr>
            </w:pPr>
            <w:r w:rsidRPr="000C06D5">
              <w:rPr>
                <w:rFonts w:ascii="Calibri" w:hAnsi="Calibri" w:cs="Calibri"/>
                <w:b/>
                <w:bCs/>
                <w:sz w:val="16"/>
                <w:szCs w:val="16"/>
                <w:lang w:val="es-ES" w:eastAsia="es-ES"/>
              </w:rPr>
              <w:t>2024</w:t>
            </w:r>
          </w:p>
        </w:tc>
      </w:tr>
      <w:tr w:rsidR="000C06D5" w:rsidRPr="000C06D5" w14:paraId="7CC0F4BE" w14:textId="77777777" w:rsidTr="000C06D5">
        <w:trPr>
          <w:divId w:val="1252203000"/>
          <w:trHeight w:val="300"/>
          <w:jc w:val="center"/>
        </w:trPr>
        <w:tc>
          <w:tcPr>
            <w:tcW w:w="4440" w:type="dxa"/>
            <w:tcBorders>
              <w:top w:val="nil"/>
              <w:left w:val="nil"/>
              <w:bottom w:val="nil"/>
              <w:right w:val="nil"/>
            </w:tcBorders>
            <w:shd w:val="clear" w:color="000000" w:fill="FFFFFF"/>
            <w:noWrap/>
            <w:vAlign w:val="bottom"/>
            <w:hideMark/>
          </w:tcPr>
          <w:p w14:paraId="7D5E17B5" w14:textId="77777777" w:rsidR="000C06D5" w:rsidRPr="000C06D5" w:rsidRDefault="000C06D5" w:rsidP="000C06D5">
            <w:pPr>
              <w:jc w:val="left"/>
              <w:rPr>
                <w:rFonts w:ascii="Calibri" w:hAnsi="Calibri" w:cs="Calibri"/>
                <w:color w:val="000000"/>
                <w:sz w:val="16"/>
                <w:szCs w:val="16"/>
                <w:lang w:val="es-ES" w:eastAsia="es-ES"/>
              </w:rPr>
            </w:pPr>
            <w:r w:rsidRPr="000C06D5">
              <w:rPr>
                <w:rFonts w:ascii="Calibri" w:hAnsi="Calibri" w:cs="Calibri"/>
                <w:color w:val="000000"/>
                <w:sz w:val="16"/>
                <w:szCs w:val="16"/>
                <w:lang w:val="es-ES" w:eastAsia="es-ES"/>
              </w:rPr>
              <w:t>POSEICAN Pesca Campaña 2021</w:t>
            </w:r>
          </w:p>
        </w:tc>
        <w:tc>
          <w:tcPr>
            <w:tcW w:w="1440" w:type="dxa"/>
            <w:tcBorders>
              <w:top w:val="single" w:sz="4" w:space="0" w:color="auto"/>
              <w:left w:val="nil"/>
              <w:bottom w:val="nil"/>
              <w:right w:val="nil"/>
            </w:tcBorders>
            <w:shd w:val="clear" w:color="000000" w:fill="FFFFFF"/>
            <w:noWrap/>
            <w:vAlign w:val="bottom"/>
            <w:hideMark/>
          </w:tcPr>
          <w:p w14:paraId="1DC07E7B" w14:textId="77777777" w:rsidR="000C06D5" w:rsidRPr="000C06D5" w:rsidRDefault="000C06D5" w:rsidP="000C06D5">
            <w:pPr>
              <w:jc w:val="right"/>
              <w:rPr>
                <w:rFonts w:ascii="Calibri" w:hAnsi="Calibri" w:cs="Calibri"/>
                <w:sz w:val="16"/>
                <w:szCs w:val="16"/>
                <w:lang w:val="es-ES" w:eastAsia="es-ES"/>
              </w:rPr>
            </w:pPr>
            <w:r w:rsidRPr="000C06D5">
              <w:rPr>
                <w:rFonts w:ascii="Calibri" w:hAnsi="Calibri" w:cs="Calibri"/>
                <w:sz w:val="16"/>
                <w:szCs w:val="16"/>
                <w:lang w:val="es-ES" w:eastAsia="es-ES"/>
              </w:rPr>
              <w:t>8.284.426,16</w:t>
            </w:r>
          </w:p>
        </w:tc>
      </w:tr>
      <w:tr w:rsidR="000C06D5" w:rsidRPr="000C06D5" w14:paraId="6B372E34" w14:textId="77777777" w:rsidTr="000C06D5">
        <w:trPr>
          <w:divId w:val="1252203000"/>
          <w:trHeight w:val="300"/>
          <w:jc w:val="center"/>
        </w:trPr>
        <w:tc>
          <w:tcPr>
            <w:tcW w:w="4440" w:type="dxa"/>
            <w:tcBorders>
              <w:top w:val="nil"/>
              <w:left w:val="nil"/>
              <w:bottom w:val="nil"/>
              <w:right w:val="single" w:sz="4" w:space="0" w:color="FFFFFF"/>
            </w:tcBorders>
            <w:shd w:val="clear" w:color="000000" w:fill="FFFFFF"/>
            <w:noWrap/>
            <w:vAlign w:val="bottom"/>
            <w:hideMark/>
          </w:tcPr>
          <w:p w14:paraId="117A28D8" w14:textId="77777777" w:rsidR="000C06D5" w:rsidRPr="000C06D5" w:rsidRDefault="000C06D5" w:rsidP="000C06D5">
            <w:pPr>
              <w:jc w:val="left"/>
              <w:rPr>
                <w:rFonts w:ascii="Calibri" w:hAnsi="Calibri" w:cs="Calibri"/>
                <w:color w:val="000000"/>
                <w:sz w:val="16"/>
                <w:szCs w:val="16"/>
                <w:lang w:val="es-ES" w:eastAsia="es-ES"/>
              </w:rPr>
            </w:pPr>
            <w:r w:rsidRPr="000C06D5">
              <w:rPr>
                <w:rFonts w:ascii="Calibri" w:hAnsi="Calibri" w:cs="Calibri"/>
                <w:color w:val="000000"/>
                <w:sz w:val="16"/>
                <w:szCs w:val="16"/>
                <w:lang w:val="es-ES" w:eastAsia="es-ES"/>
              </w:rPr>
              <w:t>POSEI Campaña 2022</w:t>
            </w:r>
          </w:p>
        </w:tc>
        <w:tc>
          <w:tcPr>
            <w:tcW w:w="1440" w:type="dxa"/>
            <w:tcBorders>
              <w:top w:val="nil"/>
              <w:left w:val="nil"/>
              <w:bottom w:val="nil"/>
              <w:right w:val="nil"/>
            </w:tcBorders>
            <w:shd w:val="clear" w:color="000000" w:fill="FFFFFF"/>
            <w:noWrap/>
            <w:vAlign w:val="bottom"/>
            <w:hideMark/>
          </w:tcPr>
          <w:p w14:paraId="167D97D9" w14:textId="77777777" w:rsidR="000C06D5" w:rsidRPr="000C06D5" w:rsidRDefault="000C06D5" w:rsidP="000C06D5">
            <w:pPr>
              <w:jc w:val="right"/>
              <w:rPr>
                <w:rFonts w:ascii="Calibri" w:hAnsi="Calibri" w:cs="Calibri"/>
                <w:sz w:val="16"/>
                <w:szCs w:val="16"/>
                <w:lang w:val="es-ES" w:eastAsia="es-ES"/>
              </w:rPr>
            </w:pPr>
            <w:r w:rsidRPr="000C06D5">
              <w:rPr>
                <w:rFonts w:ascii="Calibri" w:hAnsi="Calibri" w:cs="Calibri"/>
                <w:sz w:val="16"/>
                <w:szCs w:val="16"/>
                <w:lang w:val="es-ES" w:eastAsia="es-ES"/>
              </w:rPr>
              <w:t>351.873,65</w:t>
            </w:r>
          </w:p>
        </w:tc>
      </w:tr>
      <w:tr w:rsidR="000C06D5" w:rsidRPr="000C06D5" w14:paraId="337AACCF" w14:textId="77777777" w:rsidTr="000C06D5">
        <w:trPr>
          <w:divId w:val="1252203000"/>
          <w:trHeight w:val="300"/>
          <w:jc w:val="center"/>
        </w:trPr>
        <w:tc>
          <w:tcPr>
            <w:tcW w:w="4440" w:type="dxa"/>
            <w:tcBorders>
              <w:top w:val="nil"/>
              <w:left w:val="nil"/>
              <w:bottom w:val="nil"/>
              <w:right w:val="single" w:sz="4" w:space="0" w:color="FFFFFF"/>
            </w:tcBorders>
            <w:shd w:val="clear" w:color="000000" w:fill="FFFFFF"/>
            <w:noWrap/>
            <w:vAlign w:val="bottom"/>
            <w:hideMark/>
          </w:tcPr>
          <w:p w14:paraId="3EF480F2" w14:textId="77777777" w:rsidR="000C06D5" w:rsidRPr="000C06D5" w:rsidRDefault="000C06D5" w:rsidP="000C06D5">
            <w:pPr>
              <w:jc w:val="left"/>
              <w:rPr>
                <w:rFonts w:ascii="Calibri" w:hAnsi="Calibri" w:cs="Calibri"/>
                <w:color w:val="000000"/>
                <w:sz w:val="16"/>
                <w:szCs w:val="16"/>
                <w:lang w:val="es-ES" w:eastAsia="es-ES"/>
              </w:rPr>
            </w:pPr>
            <w:r w:rsidRPr="000C06D5">
              <w:rPr>
                <w:rFonts w:ascii="Calibri" w:hAnsi="Calibri" w:cs="Calibri"/>
                <w:color w:val="000000"/>
                <w:sz w:val="16"/>
                <w:szCs w:val="16"/>
                <w:lang w:val="es-ES" w:eastAsia="es-ES"/>
              </w:rPr>
              <w:t>POSEI Campaña 2023</w:t>
            </w:r>
          </w:p>
        </w:tc>
        <w:tc>
          <w:tcPr>
            <w:tcW w:w="1440" w:type="dxa"/>
            <w:tcBorders>
              <w:top w:val="nil"/>
              <w:left w:val="nil"/>
              <w:bottom w:val="nil"/>
              <w:right w:val="nil"/>
            </w:tcBorders>
            <w:shd w:val="clear" w:color="000000" w:fill="FFFFFF"/>
            <w:noWrap/>
            <w:vAlign w:val="bottom"/>
            <w:hideMark/>
          </w:tcPr>
          <w:p w14:paraId="450387B9" w14:textId="77777777" w:rsidR="000C06D5" w:rsidRPr="000C06D5" w:rsidRDefault="000C06D5" w:rsidP="000C06D5">
            <w:pPr>
              <w:jc w:val="right"/>
              <w:rPr>
                <w:rFonts w:ascii="Calibri" w:hAnsi="Calibri" w:cs="Calibri"/>
                <w:sz w:val="16"/>
                <w:szCs w:val="16"/>
                <w:lang w:val="es-ES" w:eastAsia="es-ES"/>
              </w:rPr>
            </w:pPr>
            <w:r w:rsidRPr="000C06D5">
              <w:rPr>
                <w:rFonts w:ascii="Calibri" w:hAnsi="Calibri" w:cs="Calibri"/>
                <w:sz w:val="16"/>
                <w:szCs w:val="16"/>
                <w:lang w:val="es-ES" w:eastAsia="es-ES"/>
              </w:rPr>
              <w:t>26.252.263,02</w:t>
            </w:r>
          </w:p>
        </w:tc>
      </w:tr>
      <w:tr w:rsidR="000C06D5" w:rsidRPr="000C06D5" w14:paraId="00A969C9" w14:textId="77777777" w:rsidTr="000C06D5">
        <w:trPr>
          <w:divId w:val="1252203000"/>
          <w:trHeight w:val="300"/>
          <w:jc w:val="center"/>
        </w:trPr>
        <w:tc>
          <w:tcPr>
            <w:tcW w:w="4440" w:type="dxa"/>
            <w:tcBorders>
              <w:top w:val="nil"/>
              <w:left w:val="nil"/>
              <w:bottom w:val="nil"/>
              <w:right w:val="single" w:sz="4" w:space="0" w:color="FFFFFF"/>
            </w:tcBorders>
            <w:shd w:val="clear" w:color="000000" w:fill="FFFFFF"/>
            <w:noWrap/>
            <w:vAlign w:val="bottom"/>
            <w:hideMark/>
          </w:tcPr>
          <w:p w14:paraId="04444A8F" w14:textId="77777777" w:rsidR="000C06D5" w:rsidRPr="000C06D5" w:rsidRDefault="000C06D5" w:rsidP="000C06D5">
            <w:pPr>
              <w:jc w:val="left"/>
              <w:rPr>
                <w:rFonts w:ascii="Calibri" w:hAnsi="Calibri" w:cs="Calibri"/>
                <w:color w:val="000000"/>
                <w:sz w:val="16"/>
                <w:szCs w:val="16"/>
                <w:lang w:val="es-ES" w:eastAsia="es-ES"/>
              </w:rPr>
            </w:pPr>
            <w:proofErr w:type="gramStart"/>
            <w:r w:rsidRPr="000C06D5">
              <w:rPr>
                <w:rFonts w:ascii="Calibri" w:hAnsi="Calibri" w:cs="Calibri"/>
                <w:color w:val="000000"/>
                <w:sz w:val="16"/>
                <w:szCs w:val="16"/>
                <w:lang w:val="es-ES" w:eastAsia="es-ES"/>
              </w:rPr>
              <w:t>Ayuda afectados</w:t>
            </w:r>
            <w:proofErr w:type="gramEnd"/>
            <w:r w:rsidRPr="000C06D5">
              <w:rPr>
                <w:rFonts w:ascii="Calibri" w:hAnsi="Calibri" w:cs="Calibri"/>
                <w:color w:val="000000"/>
                <w:sz w:val="16"/>
                <w:szCs w:val="16"/>
                <w:lang w:val="es-ES" w:eastAsia="es-ES"/>
              </w:rPr>
              <w:t xml:space="preserve"> por el volcán de La Palma</w:t>
            </w:r>
          </w:p>
        </w:tc>
        <w:tc>
          <w:tcPr>
            <w:tcW w:w="1440" w:type="dxa"/>
            <w:tcBorders>
              <w:top w:val="nil"/>
              <w:left w:val="nil"/>
              <w:bottom w:val="nil"/>
              <w:right w:val="nil"/>
            </w:tcBorders>
            <w:shd w:val="clear" w:color="000000" w:fill="FFFFFF"/>
            <w:noWrap/>
            <w:vAlign w:val="bottom"/>
            <w:hideMark/>
          </w:tcPr>
          <w:p w14:paraId="4AECFCC2" w14:textId="77777777" w:rsidR="000C06D5" w:rsidRPr="000C06D5" w:rsidRDefault="000C06D5" w:rsidP="000C06D5">
            <w:pPr>
              <w:jc w:val="right"/>
              <w:rPr>
                <w:rFonts w:ascii="Calibri" w:hAnsi="Calibri" w:cs="Calibri"/>
                <w:sz w:val="16"/>
                <w:szCs w:val="16"/>
                <w:lang w:val="es-ES" w:eastAsia="es-ES"/>
              </w:rPr>
            </w:pPr>
            <w:r w:rsidRPr="000C06D5">
              <w:rPr>
                <w:rFonts w:ascii="Calibri" w:hAnsi="Calibri" w:cs="Calibri"/>
                <w:sz w:val="16"/>
                <w:szCs w:val="16"/>
                <w:lang w:val="es-ES" w:eastAsia="es-ES"/>
              </w:rPr>
              <w:t>46.275.670,85</w:t>
            </w:r>
          </w:p>
        </w:tc>
      </w:tr>
      <w:tr w:rsidR="000C06D5" w:rsidRPr="000C06D5" w14:paraId="366A2176" w14:textId="77777777" w:rsidTr="000C06D5">
        <w:trPr>
          <w:divId w:val="1252203000"/>
          <w:trHeight w:val="300"/>
          <w:jc w:val="center"/>
        </w:trPr>
        <w:tc>
          <w:tcPr>
            <w:tcW w:w="4440" w:type="dxa"/>
            <w:tcBorders>
              <w:top w:val="nil"/>
              <w:left w:val="nil"/>
              <w:bottom w:val="nil"/>
              <w:right w:val="single" w:sz="4" w:space="0" w:color="FFFFFF"/>
            </w:tcBorders>
            <w:shd w:val="clear" w:color="000000" w:fill="FFFFFF"/>
            <w:noWrap/>
            <w:vAlign w:val="bottom"/>
            <w:hideMark/>
          </w:tcPr>
          <w:p w14:paraId="7E4BE62F" w14:textId="77777777" w:rsidR="000C06D5" w:rsidRPr="000C06D5" w:rsidRDefault="000C06D5" w:rsidP="000C06D5">
            <w:pPr>
              <w:jc w:val="left"/>
              <w:rPr>
                <w:rFonts w:ascii="Calibri" w:hAnsi="Calibri" w:cs="Calibri"/>
                <w:color w:val="000000"/>
                <w:sz w:val="16"/>
                <w:szCs w:val="16"/>
                <w:lang w:val="es-ES" w:eastAsia="es-ES"/>
              </w:rPr>
            </w:pPr>
            <w:r w:rsidRPr="000C06D5">
              <w:rPr>
                <w:rFonts w:ascii="Calibri" w:hAnsi="Calibri" w:cs="Calibri"/>
                <w:color w:val="000000"/>
                <w:sz w:val="16"/>
                <w:szCs w:val="16"/>
                <w:lang w:val="es-ES" w:eastAsia="es-ES"/>
              </w:rPr>
              <w:t xml:space="preserve">Ayuda afectados guerra de Ucrania </w:t>
            </w:r>
          </w:p>
        </w:tc>
        <w:tc>
          <w:tcPr>
            <w:tcW w:w="1440" w:type="dxa"/>
            <w:tcBorders>
              <w:top w:val="nil"/>
              <w:left w:val="nil"/>
              <w:bottom w:val="single" w:sz="4" w:space="0" w:color="auto"/>
              <w:right w:val="nil"/>
            </w:tcBorders>
            <w:shd w:val="clear" w:color="000000" w:fill="FFFFFF"/>
            <w:noWrap/>
            <w:vAlign w:val="bottom"/>
            <w:hideMark/>
          </w:tcPr>
          <w:p w14:paraId="40CA92AF" w14:textId="77777777" w:rsidR="000C06D5" w:rsidRPr="000C06D5" w:rsidRDefault="000C06D5" w:rsidP="000C06D5">
            <w:pPr>
              <w:jc w:val="right"/>
              <w:rPr>
                <w:rFonts w:ascii="Calibri" w:hAnsi="Calibri" w:cs="Calibri"/>
                <w:sz w:val="16"/>
                <w:szCs w:val="16"/>
                <w:lang w:val="es-ES" w:eastAsia="es-ES"/>
              </w:rPr>
            </w:pPr>
            <w:r w:rsidRPr="000C06D5">
              <w:rPr>
                <w:rFonts w:ascii="Calibri" w:hAnsi="Calibri" w:cs="Calibri"/>
                <w:sz w:val="16"/>
                <w:szCs w:val="16"/>
                <w:lang w:val="es-ES" w:eastAsia="es-ES"/>
              </w:rPr>
              <w:t>11.669.497,91</w:t>
            </w:r>
          </w:p>
        </w:tc>
      </w:tr>
      <w:tr w:rsidR="000C06D5" w:rsidRPr="000C06D5" w14:paraId="35B1899F" w14:textId="77777777" w:rsidTr="000C06D5">
        <w:trPr>
          <w:divId w:val="1252203000"/>
          <w:trHeight w:val="300"/>
          <w:jc w:val="center"/>
        </w:trPr>
        <w:tc>
          <w:tcPr>
            <w:tcW w:w="4440" w:type="dxa"/>
            <w:tcBorders>
              <w:top w:val="single" w:sz="4" w:space="0" w:color="auto"/>
              <w:left w:val="nil"/>
              <w:bottom w:val="single" w:sz="4" w:space="0" w:color="auto"/>
            </w:tcBorders>
            <w:shd w:val="clear" w:color="000000" w:fill="D9D9D9"/>
            <w:noWrap/>
            <w:vAlign w:val="bottom"/>
            <w:hideMark/>
          </w:tcPr>
          <w:p w14:paraId="20927633" w14:textId="77777777" w:rsidR="000C06D5" w:rsidRPr="000C06D5" w:rsidRDefault="000C06D5" w:rsidP="000C06D5">
            <w:pPr>
              <w:jc w:val="left"/>
              <w:rPr>
                <w:rFonts w:ascii="Calibri" w:hAnsi="Calibri" w:cs="Calibri"/>
                <w:b/>
                <w:bCs/>
                <w:color w:val="000000"/>
                <w:sz w:val="16"/>
                <w:szCs w:val="16"/>
                <w:lang w:val="es-ES" w:eastAsia="es-ES"/>
              </w:rPr>
            </w:pPr>
            <w:r w:rsidRPr="000C06D5">
              <w:rPr>
                <w:rFonts w:ascii="Calibri" w:hAnsi="Calibri" w:cs="Calibri"/>
                <w:b/>
                <w:bCs/>
                <w:color w:val="000000"/>
                <w:sz w:val="16"/>
                <w:szCs w:val="16"/>
                <w:lang w:val="es-ES" w:eastAsia="es-ES"/>
              </w:rPr>
              <w:t>Total</w:t>
            </w:r>
          </w:p>
        </w:tc>
        <w:tc>
          <w:tcPr>
            <w:tcW w:w="1440" w:type="dxa"/>
            <w:tcBorders>
              <w:top w:val="single" w:sz="4" w:space="0" w:color="auto"/>
              <w:bottom w:val="single" w:sz="4" w:space="0" w:color="auto"/>
              <w:right w:val="nil"/>
            </w:tcBorders>
            <w:shd w:val="clear" w:color="000000" w:fill="D9D9D9"/>
            <w:noWrap/>
            <w:vAlign w:val="bottom"/>
            <w:hideMark/>
          </w:tcPr>
          <w:p w14:paraId="2DCD3D33" w14:textId="77777777" w:rsidR="000C06D5" w:rsidRPr="000C06D5" w:rsidRDefault="000C06D5" w:rsidP="000C06D5">
            <w:pPr>
              <w:jc w:val="right"/>
              <w:rPr>
                <w:rFonts w:ascii="Calibri" w:hAnsi="Calibri" w:cs="Calibri"/>
                <w:b/>
                <w:bCs/>
                <w:sz w:val="16"/>
                <w:szCs w:val="16"/>
                <w:lang w:val="es-ES" w:eastAsia="es-ES"/>
              </w:rPr>
            </w:pPr>
            <w:r w:rsidRPr="000C06D5">
              <w:rPr>
                <w:rFonts w:ascii="Calibri" w:hAnsi="Calibri" w:cs="Calibri"/>
                <w:b/>
                <w:bCs/>
                <w:sz w:val="16"/>
                <w:szCs w:val="16"/>
                <w:lang w:val="es-ES" w:eastAsia="es-ES"/>
              </w:rPr>
              <w:t>92.833.731,59</w:t>
            </w:r>
          </w:p>
        </w:tc>
      </w:tr>
    </w:tbl>
    <w:p w14:paraId="6950EDE7" w14:textId="77777777" w:rsidR="00260BD1" w:rsidRPr="00706AB4" w:rsidRDefault="00260BD1" w:rsidP="00260BD1">
      <w:pPr>
        <w:spacing w:after="160" w:line="256" w:lineRule="auto"/>
        <w:rPr>
          <w:rFonts w:eastAsia="Calibri" w:cs="Arial"/>
          <w:b/>
          <w:bCs/>
          <w:color w:val="FF0000"/>
          <w:szCs w:val="20"/>
          <w:lang w:val="es-ES"/>
        </w:rPr>
      </w:pPr>
      <w:r w:rsidRPr="00706AB4">
        <w:rPr>
          <w:rFonts w:eastAsia="Calibri" w:cs="Arial"/>
          <w:b/>
          <w:bCs/>
          <w:color w:val="FF0000"/>
          <w:szCs w:val="20"/>
          <w:lang w:val="es-ES"/>
        </w:rPr>
        <w:fldChar w:fldCharType="end"/>
      </w:r>
    </w:p>
    <w:p w14:paraId="60C3A4FC" w14:textId="77777777" w:rsidR="00260BD1" w:rsidRPr="00066B77" w:rsidRDefault="00260BD1" w:rsidP="00260BD1">
      <w:pPr>
        <w:spacing w:after="160" w:line="256" w:lineRule="auto"/>
        <w:rPr>
          <w:rFonts w:eastAsia="Calibri" w:cs="Arial"/>
          <w:szCs w:val="20"/>
        </w:rPr>
      </w:pPr>
      <w:r w:rsidRPr="00706AB4">
        <w:rPr>
          <w:rFonts w:eastAsia="Calibri" w:cs="Arial"/>
          <w:szCs w:val="20"/>
        </w:rPr>
        <w:t>La Sociedad responde anualmente a las demandas de información del Comisionado de Transparencia, de acuerdo con la ley, para elaborar el Índice de Transparencia de Canarias (ITCanarias), gracias a la aplicación T Canarias (aplicación suministrada por el Comisionado para tal fin), que además ayuda a mejorar la transparencia, reduciendo</w:t>
      </w:r>
      <w:r w:rsidRPr="00066B77">
        <w:rPr>
          <w:rFonts w:eastAsia="Calibri" w:cs="Arial"/>
          <w:szCs w:val="20"/>
        </w:rPr>
        <w:t xml:space="preserve"> así la opacidad.</w:t>
      </w:r>
    </w:p>
    <w:p w14:paraId="4C9D513B" w14:textId="77777777" w:rsidR="00260BD1" w:rsidRPr="0061352A" w:rsidRDefault="00260BD1" w:rsidP="00260BD1">
      <w:pPr>
        <w:spacing w:after="160" w:line="256" w:lineRule="auto"/>
        <w:rPr>
          <w:rFonts w:eastAsia="Calibri" w:cs="Arial"/>
          <w:szCs w:val="20"/>
        </w:rPr>
      </w:pPr>
      <w:r w:rsidRPr="00066B77">
        <w:rPr>
          <w:rFonts w:eastAsia="Calibri" w:cs="Arial"/>
          <w:szCs w:val="20"/>
        </w:rPr>
        <w:t>En 2024 la Sociedad</w:t>
      </w:r>
      <w:r>
        <w:rPr>
          <w:rFonts w:eastAsia="Calibri" w:cs="Arial"/>
          <w:szCs w:val="20"/>
        </w:rPr>
        <w:t xml:space="preserve"> ha</w:t>
      </w:r>
      <w:r w:rsidRPr="0061352A">
        <w:rPr>
          <w:rFonts w:eastAsia="Calibri" w:cs="Arial"/>
          <w:szCs w:val="20"/>
        </w:rPr>
        <w:t xml:space="preserve"> dado cumplimiento a las 66 obligaciones que </w:t>
      </w:r>
      <w:r>
        <w:rPr>
          <w:rFonts w:eastAsia="Calibri" w:cs="Arial"/>
          <w:szCs w:val="20"/>
        </w:rPr>
        <w:t>le</w:t>
      </w:r>
      <w:r w:rsidRPr="0061352A">
        <w:rPr>
          <w:rFonts w:eastAsia="Calibri" w:cs="Arial"/>
          <w:szCs w:val="20"/>
        </w:rPr>
        <w:t xml:space="preserve"> afectan en materia de Transparencia correspondientes al ejercicio del año 2022 y primer semestre de 2023,  obteniendo </w:t>
      </w:r>
      <w:r>
        <w:rPr>
          <w:rFonts w:eastAsia="Calibri" w:cs="Arial"/>
          <w:szCs w:val="20"/>
        </w:rPr>
        <w:t>la máxima puntuación.</w:t>
      </w:r>
    </w:p>
    <w:p w14:paraId="4A421DAC" w14:textId="77777777" w:rsidR="00260BD1" w:rsidRPr="0061352A" w:rsidRDefault="00260BD1" w:rsidP="00260BD1">
      <w:pPr>
        <w:spacing w:after="160" w:line="256" w:lineRule="auto"/>
        <w:rPr>
          <w:rFonts w:eastAsia="Calibri" w:cs="Arial"/>
          <w:szCs w:val="20"/>
        </w:rPr>
      </w:pPr>
      <w:r>
        <w:rPr>
          <w:rFonts w:eastAsia="Calibri" w:cs="Arial"/>
          <w:szCs w:val="20"/>
        </w:rPr>
        <w:t xml:space="preserve">A la fecha de este informe, la Sociedad </w:t>
      </w:r>
      <w:r w:rsidRPr="0061352A">
        <w:rPr>
          <w:rFonts w:eastAsia="Calibri" w:cs="Arial"/>
          <w:szCs w:val="20"/>
        </w:rPr>
        <w:t>est</w:t>
      </w:r>
      <w:r>
        <w:rPr>
          <w:rFonts w:eastAsia="Calibri" w:cs="Arial"/>
          <w:szCs w:val="20"/>
        </w:rPr>
        <w:t>á</w:t>
      </w:r>
      <w:r w:rsidRPr="0061352A">
        <w:rPr>
          <w:rFonts w:eastAsia="Calibri" w:cs="Arial"/>
          <w:szCs w:val="20"/>
        </w:rPr>
        <w:t xml:space="preserve"> preparando la evaluación de transparencia correspondiente al segundo semestre de 2023 y al año 2024 que comienza en marzo de </w:t>
      </w:r>
      <w:r>
        <w:rPr>
          <w:rFonts w:eastAsia="Calibri" w:cs="Arial"/>
          <w:szCs w:val="20"/>
        </w:rPr>
        <w:t>2025</w:t>
      </w:r>
      <w:r w:rsidRPr="0061352A">
        <w:rPr>
          <w:rFonts w:eastAsia="Calibri" w:cs="Arial"/>
          <w:szCs w:val="20"/>
        </w:rPr>
        <w:t>.</w:t>
      </w:r>
    </w:p>
    <w:p w14:paraId="65793622" w14:textId="77777777" w:rsidR="00260BD1" w:rsidRPr="0061352A" w:rsidRDefault="00260BD1" w:rsidP="00260BD1">
      <w:pPr>
        <w:spacing w:after="160" w:line="256" w:lineRule="auto"/>
        <w:rPr>
          <w:rFonts w:eastAsia="Calibri" w:cs="Arial"/>
          <w:szCs w:val="20"/>
        </w:rPr>
      </w:pPr>
      <w:r w:rsidRPr="0061352A">
        <w:rPr>
          <w:rFonts w:eastAsia="Calibri" w:cs="Arial"/>
          <w:szCs w:val="20"/>
        </w:rPr>
        <w:lastRenderedPageBreak/>
        <w:t xml:space="preserve">En cuanto a los retos en esta materia, para el ejercicio 2025, </w:t>
      </w:r>
      <w:r>
        <w:rPr>
          <w:rFonts w:eastAsia="Calibri" w:cs="Arial"/>
          <w:szCs w:val="20"/>
        </w:rPr>
        <w:t>la Sociedad</w:t>
      </w:r>
      <w:r w:rsidRPr="0061352A">
        <w:rPr>
          <w:rFonts w:eastAsia="Calibri" w:cs="Arial"/>
          <w:szCs w:val="20"/>
        </w:rPr>
        <w:t xml:space="preserve"> seguirá las indicaciones de la Dirección General de Transparencia y Participación Ciudadana, cómo órgano competente en materia de transparencia, para la publicación de sus obligaciones en el Portal de Transparencia de GMR Canarias.</w:t>
      </w:r>
    </w:p>
    <w:p w14:paraId="761EB0B5" w14:textId="77777777" w:rsidR="00260BD1" w:rsidRPr="0061352A" w:rsidRDefault="00260BD1" w:rsidP="00260BD1">
      <w:pPr>
        <w:spacing w:after="160" w:line="256" w:lineRule="auto"/>
        <w:rPr>
          <w:rFonts w:eastAsia="Calibri" w:cs="Arial"/>
          <w:iCs/>
          <w:szCs w:val="20"/>
        </w:rPr>
      </w:pPr>
      <w:r w:rsidRPr="0061352A">
        <w:rPr>
          <w:rFonts w:eastAsia="Calibri" w:cs="Arial"/>
          <w:iCs/>
          <w:szCs w:val="20"/>
        </w:rPr>
        <w:t>En 2024 se han mantenido las certificaciones del Esquema Nacional de Seguridad adaptándonos al nuevo ENS (</w:t>
      </w:r>
      <w:r w:rsidRPr="0061352A">
        <w:rPr>
          <w:rFonts w:eastAsia="Calibri" w:cs="Arial"/>
          <w:szCs w:val="20"/>
          <w:lang w:val="es-ES"/>
        </w:rPr>
        <w:t xml:space="preserve">según el nuevo RD 311/2022 de 3 de </w:t>
      </w:r>
      <w:r>
        <w:rPr>
          <w:rFonts w:eastAsia="Calibri" w:cs="Arial"/>
          <w:szCs w:val="20"/>
          <w:lang w:val="es-ES"/>
        </w:rPr>
        <w:t>m</w:t>
      </w:r>
      <w:r w:rsidRPr="0061352A">
        <w:rPr>
          <w:rFonts w:eastAsia="Calibri" w:cs="Arial"/>
          <w:szCs w:val="20"/>
          <w:lang w:val="es-ES"/>
        </w:rPr>
        <w:t>ayo</w:t>
      </w:r>
      <w:r w:rsidRPr="0061352A">
        <w:rPr>
          <w:rFonts w:eastAsia="Calibri" w:cs="Arial"/>
          <w:iCs/>
          <w:szCs w:val="20"/>
        </w:rPr>
        <w:t>) y de la UNE-EN ISO/IEC 27001 con la certificadora AENOR, así como la ISO 9001:2015con la certificadora ICDQ.</w:t>
      </w:r>
    </w:p>
    <w:p w14:paraId="126E0159" w14:textId="77777777" w:rsidR="00260BD1" w:rsidRPr="0061352A" w:rsidRDefault="00260BD1" w:rsidP="00260BD1">
      <w:pPr>
        <w:spacing w:after="160" w:line="256" w:lineRule="auto"/>
        <w:rPr>
          <w:rFonts w:eastAsia="Calibri" w:cs="Arial"/>
          <w:szCs w:val="20"/>
        </w:rPr>
      </w:pPr>
      <w:r w:rsidRPr="0061352A">
        <w:rPr>
          <w:rFonts w:eastAsia="Calibri" w:cs="Arial"/>
          <w:szCs w:val="20"/>
        </w:rPr>
        <w:t xml:space="preserve">Durante el año 2024 no se han producido conflictos de intereses por parte de empleados y/o consejeros de </w:t>
      </w:r>
      <w:r>
        <w:rPr>
          <w:rFonts w:eastAsia="Calibri" w:cs="Arial"/>
          <w:szCs w:val="20"/>
        </w:rPr>
        <w:t>l</w:t>
      </w:r>
      <w:r w:rsidRPr="0061352A">
        <w:rPr>
          <w:rFonts w:eastAsia="Calibri" w:cs="Arial"/>
          <w:szCs w:val="20"/>
        </w:rPr>
        <w:t xml:space="preserve">a </w:t>
      </w:r>
      <w:r>
        <w:rPr>
          <w:rFonts w:eastAsia="Calibri" w:cs="Arial"/>
          <w:szCs w:val="20"/>
        </w:rPr>
        <w:t>S</w:t>
      </w:r>
      <w:r w:rsidRPr="0061352A">
        <w:rPr>
          <w:rFonts w:eastAsia="Calibri" w:cs="Arial"/>
          <w:szCs w:val="20"/>
        </w:rPr>
        <w:t>ociedad</w:t>
      </w:r>
      <w:r>
        <w:rPr>
          <w:rFonts w:eastAsia="Calibri" w:cs="Arial"/>
          <w:szCs w:val="20"/>
        </w:rPr>
        <w:t>, l</w:t>
      </w:r>
      <w:r w:rsidRPr="0061352A">
        <w:rPr>
          <w:rFonts w:eastAsia="Calibri" w:cs="Arial"/>
          <w:szCs w:val="20"/>
        </w:rPr>
        <w:t>levándose a cabo sin incidencias lo estipulado en el CÓDIGO ÉTICO DE GMR CANARIAS V1</w:t>
      </w:r>
      <w:r>
        <w:rPr>
          <w:rFonts w:eastAsia="Calibri" w:cs="Arial"/>
          <w:szCs w:val="20"/>
        </w:rPr>
        <w:t>,</w:t>
      </w:r>
      <w:r w:rsidRPr="0061352A">
        <w:rPr>
          <w:rFonts w:eastAsia="Calibri" w:cs="Arial"/>
          <w:szCs w:val="20"/>
        </w:rPr>
        <w:t xml:space="preserve"> así como en la POLÍTICA DE CONFLICTO DE INTERÉS GMR V1</w:t>
      </w:r>
      <w:r>
        <w:rPr>
          <w:rFonts w:eastAsia="Calibri" w:cs="Arial"/>
          <w:szCs w:val="20"/>
        </w:rPr>
        <w:t>,</w:t>
      </w:r>
      <w:r w:rsidRPr="0061352A">
        <w:rPr>
          <w:rFonts w:eastAsia="Calibri" w:cs="Arial"/>
          <w:szCs w:val="20"/>
        </w:rPr>
        <w:t xml:space="preserve"> aprobado</w:t>
      </w:r>
      <w:r>
        <w:rPr>
          <w:rFonts w:eastAsia="Calibri" w:cs="Arial"/>
          <w:szCs w:val="20"/>
        </w:rPr>
        <w:t>s</w:t>
      </w:r>
      <w:r w:rsidRPr="0061352A">
        <w:rPr>
          <w:rFonts w:eastAsia="Calibri" w:cs="Arial"/>
          <w:szCs w:val="20"/>
        </w:rPr>
        <w:t xml:space="preserve"> en septiembre del año 2021.</w:t>
      </w:r>
    </w:p>
    <w:p w14:paraId="213674E6" w14:textId="77777777" w:rsidR="00260BD1" w:rsidRDefault="00260BD1" w:rsidP="00260BD1">
      <w:pPr>
        <w:spacing w:after="160" w:line="256" w:lineRule="auto"/>
        <w:rPr>
          <w:rFonts w:eastAsia="Calibri" w:cs="Arial"/>
          <w:szCs w:val="20"/>
        </w:rPr>
      </w:pPr>
      <w:r w:rsidRPr="0061352A">
        <w:rPr>
          <w:rFonts w:eastAsia="Calibri" w:cs="Arial"/>
          <w:szCs w:val="20"/>
        </w:rPr>
        <w:t xml:space="preserve">Además, se </w:t>
      </w:r>
      <w:r>
        <w:rPr>
          <w:rFonts w:eastAsia="Calibri" w:cs="Arial"/>
          <w:szCs w:val="20"/>
        </w:rPr>
        <w:t xml:space="preserve">ha </w:t>
      </w:r>
      <w:r w:rsidRPr="0061352A">
        <w:rPr>
          <w:rFonts w:eastAsia="Calibri" w:cs="Arial"/>
          <w:szCs w:val="20"/>
        </w:rPr>
        <w:t>da</w:t>
      </w:r>
      <w:r>
        <w:rPr>
          <w:rFonts w:eastAsia="Calibri" w:cs="Arial"/>
          <w:szCs w:val="20"/>
        </w:rPr>
        <w:t>do</w:t>
      </w:r>
      <w:r w:rsidRPr="0061352A">
        <w:rPr>
          <w:rFonts w:eastAsia="Calibri" w:cs="Arial"/>
          <w:szCs w:val="20"/>
        </w:rPr>
        <w:t xml:space="preserve"> respuesta a los requerimientos del Organismo Pagador en esta materia, cumpli</w:t>
      </w:r>
      <w:r>
        <w:rPr>
          <w:rFonts w:eastAsia="Calibri" w:cs="Arial"/>
          <w:szCs w:val="20"/>
        </w:rPr>
        <w:t>é</w:t>
      </w:r>
      <w:r w:rsidRPr="0061352A">
        <w:rPr>
          <w:rFonts w:eastAsia="Calibri" w:cs="Arial"/>
          <w:szCs w:val="20"/>
        </w:rPr>
        <w:t>ndo</w:t>
      </w:r>
      <w:r>
        <w:rPr>
          <w:rFonts w:eastAsia="Calibri" w:cs="Arial"/>
          <w:szCs w:val="20"/>
        </w:rPr>
        <w:t>se</w:t>
      </w:r>
      <w:r w:rsidRPr="0061352A">
        <w:rPr>
          <w:rFonts w:eastAsia="Calibri" w:cs="Arial"/>
          <w:szCs w:val="20"/>
        </w:rPr>
        <w:t xml:space="preserve"> sin incidencias hasta la fecha.</w:t>
      </w:r>
    </w:p>
    <w:p w14:paraId="3FE57102" w14:textId="664A854F" w:rsidR="00FD6578" w:rsidRPr="00F12A4D" w:rsidRDefault="00FD6578" w:rsidP="00FD6578">
      <w:pPr>
        <w:spacing w:after="160" w:line="256" w:lineRule="auto"/>
        <w:rPr>
          <w:rFonts w:eastAsia="Calibri" w:cs="Arial"/>
          <w:b/>
          <w:szCs w:val="20"/>
          <w:highlight w:val="yellow"/>
        </w:rPr>
      </w:pPr>
    </w:p>
    <w:p w14:paraId="279057FE" w14:textId="32593E57" w:rsidR="00FD6578" w:rsidRPr="00260BD1" w:rsidRDefault="00FD6578" w:rsidP="00FD6578">
      <w:pPr>
        <w:spacing w:after="160" w:line="256" w:lineRule="auto"/>
        <w:rPr>
          <w:rFonts w:eastAsia="Calibri" w:cs="Arial"/>
          <w:b/>
          <w:szCs w:val="20"/>
        </w:rPr>
      </w:pPr>
      <w:r w:rsidRPr="00260BD1">
        <w:rPr>
          <w:rFonts w:eastAsia="Calibri" w:cs="Arial"/>
          <w:b/>
          <w:szCs w:val="20"/>
        </w:rPr>
        <w:t>2.</w:t>
      </w:r>
      <w:r w:rsidRPr="00260BD1">
        <w:rPr>
          <w:rFonts w:eastAsia="Calibri" w:cs="Arial"/>
          <w:b/>
          <w:szCs w:val="20"/>
        </w:rPr>
        <w:tab/>
        <w:t>PREVISION PARA EL EJERCICIO 202</w:t>
      </w:r>
      <w:r w:rsidR="00C4667B" w:rsidRPr="00260BD1">
        <w:rPr>
          <w:rFonts w:eastAsia="Calibri" w:cs="Arial"/>
          <w:b/>
          <w:szCs w:val="20"/>
        </w:rPr>
        <w:t>5</w:t>
      </w:r>
    </w:p>
    <w:bookmarkEnd w:id="127"/>
    <w:p w14:paraId="0C654C2F" w14:textId="77777777" w:rsidR="00260BD1" w:rsidRPr="000E4115" w:rsidRDefault="00260BD1" w:rsidP="00260BD1">
      <w:pPr>
        <w:spacing w:after="160" w:line="256" w:lineRule="auto"/>
        <w:rPr>
          <w:rFonts w:eastAsia="Calibri" w:cs="Arial"/>
          <w:szCs w:val="20"/>
        </w:rPr>
      </w:pPr>
      <w:r w:rsidRPr="000E4115">
        <w:rPr>
          <w:rFonts w:eastAsia="Calibri" w:cs="Arial"/>
          <w:szCs w:val="20"/>
        </w:rPr>
        <w:t>La Sociedad tiene previsto finalizar el Plan de Actuación para cumplir con la Ley de Contratos del Sector Público en la actividad comercial mediante la implementación de las herramientas informáticas (hardware y software) para la ejecución de los procedimientos.</w:t>
      </w:r>
    </w:p>
    <w:p w14:paraId="25286857" w14:textId="77777777" w:rsidR="00260BD1" w:rsidRPr="000E4115" w:rsidRDefault="00260BD1" w:rsidP="00260BD1">
      <w:pPr>
        <w:spacing w:after="160" w:line="256" w:lineRule="auto"/>
        <w:rPr>
          <w:rFonts w:eastAsia="Calibri" w:cs="Arial"/>
          <w:szCs w:val="20"/>
        </w:rPr>
      </w:pPr>
      <w:r w:rsidRPr="000E4115">
        <w:rPr>
          <w:rFonts w:eastAsia="Calibri" w:cs="Arial"/>
          <w:szCs w:val="20"/>
        </w:rPr>
        <w:t>Desde el punto de vista productivo, en el Departamento de Proyectos se prevé ejecutar los encargos recurrentes contratados por parte de los diferentes centros directivos de la Consejería de Agricultura, Ganadería, Pesca y Soberanía Alimentaria</w:t>
      </w:r>
      <w:r>
        <w:rPr>
          <w:rFonts w:eastAsia="Calibri" w:cs="Arial"/>
          <w:szCs w:val="20"/>
        </w:rPr>
        <w:t>, así como de otras áreas del Gobierno de Canarias</w:t>
      </w:r>
      <w:r w:rsidRPr="000E4115">
        <w:rPr>
          <w:rFonts w:eastAsia="Calibri" w:cs="Arial"/>
          <w:szCs w:val="20"/>
        </w:rPr>
        <w:t>. A</w:t>
      </w:r>
      <w:r>
        <w:rPr>
          <w:rFonts w:eastAsia="Calibri" w:cs="Arial"/>
          <w:szCs w:val="20"/>
        </w:rPr>
        <w:t>demás</w:t>
      </w:r>
      <w:r w:rsidRPr="000E4115">
        <w:rPr>
          <w:rFonts w:eastAsia="Calibri" w:cs="Arial"/>
          <w:szCs w:val="20"/>
        </w:rPr>
        <w:t>, la Sociedad tiene previsto</w:t>
      </w:r>
      <w:r>
        <w:rPr>
          <w:rFonts w:eastAsia="Calibri" w:cs="Arial"/>
          <w:szCs w:val="20"/>
        </w:rPr>
        <w:t xml:space="preserve">, una vez se ha obtenido la condición de </w:t>
      </w:r>
      <w:r w:rsidRPr="000E4115">
        <w:rPr>
          <w:rFonts w:eastAsia="Calibri" w:cs="Arial"/>
          <w:szCs w:val="20"/>
        </w:rPr>
        <w:t xml:space="preserve">medio propio </w:t>
      </w:r>
      <w:r>
        <w:rPr>
          <w:rFonts w:eastAsia="Calibri" w:cs="Arial"/>
          <w:szCs w:val="20"/>
        </w:rPr>
        <w:t xml:space="preserve">personificado </w:t>
      </w:r>
      <w:r w:rsidRPr="000E4115">
        <w:rPr>
          <w:rFonts w:eastAsia="Calibri" w:cs="Arial"/>
          <w:szCs w:val="20"/>
        </w:rPr>
        <w:t>de</w:t>
      </w:r>
      <w:r>
        <w:rPr>
          <w:rFonts w:eastAsia="Calibri" w:cs="Arial"/>
          <w:szCs w:val="20"/>
        </w:rPr>
        <w:t>l</w:t>
      </w:r>
      <w:r w:rsidRPr="000E4115">
        <w:rPr>
          <w:rFonts w:eastAsia="Calibri" w:cs="Arial"/>
          <w:szCs w:val="20"/>
        </w:rPr>
        <w:t xml:space="preserve"> Cabildo Insular</w:t>
      </w:r>
      <w:r>
        <w:rPr>
          <w:rFonts w:eastAsia="Calibri" w:cs="Arial"/>
          <w:szCs w:val="20"/>
        </w:rPr>
        <w:t xml:space="preserve"> de Tenerife</w:t>
      </w:r>
      <w:r w:rsidRPr="000E4115">
        <w:rPr>
          <w:rFonts w:eastAsia="Calibri" w:cs="Arial"/>
          <w:szCs w:val="20"/>
        </w:rPr>
        <w:t xml:space="preserve">, </w:t>
      </w:r>
      <w:r>
        <w:rPr>
          <w:rFonts w:eastAsia="Calibri" w:cs="Arial"/>
          <w:szCs w:val="20"/>
        </w:rPr>
        <w:t xml:space="preserve">comenzar a recibir </w:t>
      </w:r>
      <w:r w:rsidRPr="000E4115">
        <w:rPr>
          <w:rFonts w:eastAsia="Calibri" w:cs="Arial"/>
          <w:szCs w:val="20"/>
        </w:rPr>
        <w:t xml:space="preserve">encargos </w:t>
      </w:r>
      <w:r>
        <w:rPr>
          <w:rFonts w:eastAsia="Calibri" w:cs="Arial"/>
          <w:szCs w:val="20"/>
        </w:rPr>
        <w:t>de esta corporación</w:t>
      </w:r>
      <w:r w:rsidRPr="000E4115">
        <w:rPr>
          <w:rFonts w:eastAsia="Calibri" w:cs="Arial"/>
          <w:szCs w:val="20"/>
        </w:rPr>
        <w:t>.</w:t>
      </w:r>
      <w:r>
        <w:rPr>
          <w:rFonts w:eastAsia="Calibri" w:cs="Arial"/>
          <w:szCs w:val="20"/>
        </w:rPr>
        <w:t xml:space="preserve"> Asimismo, continúa con el proceso para obtener esta condición de otros cabildos durante el ejercicio 2025.</w:t>
      </w:r>
    </w:p>
    <w:p w14:paraId="1A378D1A" w14:textId="77777777" w:rsidR="00260BD1" w:rsidRDefault="00260BD1" w:rsidP="00260BD1">
      <w:pPr>
        <w:spacing w:after="160" w:line="256" w:lineRule="auto"/>
        <w:rPr>
          <w:rFonts w:eastAsia="Calibri" w:cs="Arial"/>
          <w:szCs w:val="20"/>
        </w:rPr>
      </w:pPr>
      <w:r>
        <w:rPr>
          <w:rFonts w:eastAsia="Calibri" w:cs="Arial"/>
          <w:szCs w:val="20"/>
        </w:rPr>
        <w:t>A lo largo del ejercicio 2025, la Sociedad continuará con la entrega y distribución de ayudas, actuando como entidad colaboradora de diversas consejerías, destacando las ayudas a los afectados por la erupción del volcán de La Palma, las ayudas del POSEI Campaña 2024, del POSEICAN Pesca Campaña 2022 y las ayudas para paliar la difícil situación económica que atraviesan los titulares de diversos cultivos como consecuencia de la sequía.</w:t>
      </w:r>
    </w:p>
    <w:p w14:paraId="602CDA76" w14:textId="77777777" w:rsidR="00260BD1" w:rsidRDefault="00260BD1" w:rsidP="00260BD1">
      <w:pPr>
        <w:spacing w:after="160" w:line="256" w:lineRule="auto"/>
        <w:rPr>
          <w:rFonts w:eastAsia="Calibri" w:cs="Arial"/>
          <w:szCs w:val="20"/>
        </w:rPr>
      </w:pPr>
      <w:r w:rsidRPr="000E4115">
        <w:rPr>
          <w:rFonts w:eastAsia="Calibri" w:cs="Arial"/>
          <w:szCs w:val="20"/>
        </w:rPr>
        <w:t xml:space="preserve">Por otra parte, </w:t>
      </w:r>
      <w:r>
        <w:rPr>
          <w:rFonts w:eastAsia="Calibri" w:cs="Arial"/>
          <w:szCs w:val="20"/>
        </w:rPr>
        <w:t xml:space="preserve">entre los proyectos a desarrollar en el ejercicio 2025 </w:t>
      </w:r>
      <w:r w:rsidRPr="000E4115">
        <w:rPr>
          <w:rFonts w:eastAsia="Calibri" w:cs="Arial"/>
          <w:szCs w:val="20"/>
        </w:rPr>
        <w:t>en el Departamento Comercial destacan los siguientes:</w:t>
      </w:r>
    </w:p>
    <w:p w14:paraId="4003B441" w14:textId="77777777" w:rsidR="00260BD1" w:rsidRDefault="00260BD1" w:rsidP="00260BD1">
      <w:pPr>
        <w:spacing w:after="160" w:line="256" w:lineRule="auto"/>
        <w:rPr>
          <w:rFonts w:eastAsia="Calibri" w:cs="Arial"/>
          <w:szCs w:val="20"/>
        </w:rPr>
      </w:pPr>
    </w:p>
    <w:p w14:paraId="6B8D3C44" w14:textId="77777777" w:rsidR="00260BD1" w:rsidRDefault="00260BD1" w:rsidP="00BA6D2B">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Consolidar la estrategia Crecer Juntos.</w:t>
      </w:r>
    </w:p>
    <w:p w14:paraId="5AD0115C" w14:textId="77777777" w:rsidR="00260BD1" w:rsidRDefault="00260BD1" w:rsidP="00260BD1">
      <w:pPr>
        <w:pStyle w:val="Prrafodelista"/>
        <w:spacing w:after="120"/>
        <w:ind w:left="720"/>
        <w:contextualSpacing/>
        <w:jc w:val="both"/>
        <w:rPr>
          <w:rFonts w:ascii="Arial" w:hAnsi="Arial" w:cs="Arial"/>
          <w:sz w:val="20"/>
          <w:szCs w:val="20"/>
        </w:rPr>
      </w:pPr>
    </w:p>
    <w:p w14:paraId="488D6C53" w14:textId="244DE17C" w:rsidR="00260BD1" w:rsidRPr="00260BD1" w:rsidRDefault="00260BD1" w:rsidP="00BA6D2B">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Retomar la financiación FEDER</w:t>
      </w:r>
    </w:p>
    <w:p w14:paraId="74818C6F" w14:textId="77777777" w:rsidR="00260BD1" w:rsidRPr="00260BD1" w:rsidRDefault="00260BD1" w:rsidP="00260BD1">
      <w:pPr>
        <w:pStyle w:val="Prrafodelista"/>
        <w:rPr>
          <w:rFonts w:ascii="Arial" w:hAnsi="Arial" w:cs="Arial"/>
          <w:sz w:val="20"/>
          <w:szCs w:val="20"/>
        </w:rPr>
      </w:pPr>
    </w:p>
    <w:p w14:paraId="050FC5D1"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Impulsar el trabajo de dinamización y estímulo en municipios de menos de 10.000 habitantes.</w:t>
      </w:r>
    </w:p>
    <w:p w14:paraId="4924980D" w14:textId="77777777" w:rsidR="00260BD1" w:rsidRPr="00260BD1" w:rsidRDefault="00260BD1" w:rsidP="00260BD1">
      <w:pPr>
        <w:pStyle w:val="Prrafodelista"/>
        <w:spacing w:after="120"/>
        <w:ind w:left="720"/>
        <w:contextualSpacing/>
        <w:jc w:val="both"/>
        <w:rPr>
          <w:rFonts w:ascii="Arial" w:hAnsi="Arial" w:cs="Arial"/>
          <w:sz w:val="20"/>
          <w:szCs w:val="20"/>
        </w:rPr>
      </w:pPr>
    </w:p>
    <w:p w14:paraId="4EA088C1" w14:textId="77777777" w:rsid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Introducir el producto local en las líneas aéreas que transportan a nuestros visitantes.</w:t>
      </w:r>
    </w:p>
    <w:p w14:paraId="7FAB2927" w14:textId="77777777" w:rsidR="00260BD1" w:rsidRPr="00260BD1" w:rsidRDefault="00260BD1" w:rsidP="00260BD1">
      <w:pPr>
        <w:pStyle w:val="Prrafodelista"/>
        <w:spacing w:after="120"/>
        <w:ind w:left="720"/>
        <w:contextualSpacing/>
        <w:jc w:val="both"/>
        <w:rPr>
          <w:rFonts w:ascii="Arial" w:hAnsi="Arial" w:cs="Arial"/>
          <w:sz w:val="20"/>
          <w:szCs w:val="20"/>
        </w:rPr>
      </w:pPr>
    </w:p>
    <w:p w14:paraId="3AAA031C" w14:textId="7F35D104"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Reforzar la Oficina de Madrid para apostar por la exportación.</w:t>
      </w:r>
    </w:p>
    <w:p w14:paraId="27460B56" w14:textId="77777777" w:rsidR="00260BD1" w:rsidRPr="00260BD1" w:rsidRDefault="00260BD1" w:rsidP="00260BD1">
      <w:pPr>
        <w:pStyle w:val="Prrafodelista"/>
        <w:spacing w:after="120"/>
        <w:ind w:left="720"/>
        <w:contextualSpacing/>
        <w:jc w:val="both"/>
        <w:rPr>
          <w:rFonts w:ascii="Arial" w:hAnsi="Arial" w:cs="Arial"/>
          <w:sz w:val="20"/>
          <w:szCs w:val="20"/>
        </w:rPr>
      </w:pPr>
      <w:r w:rsidRPr="00260BD1">
        <w:rPr>
          <w:rFonts w:ascii="Arial" w:hAnsi="Arial" w:cs="Arial"/>
          <w:sz w:val="20"/>
          <w:szCs w:val="20"/>
        </w:rPr>
        <w:t xml:space="preserve"> </w:t>
      </w:r>
    </w:p>
    <w:p w14:paraId="452DA4A1"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Trabajar con PROEXCA un plan de exportación.</w:t>
      </w:r>
    </w:p>
    <w:p w14:paraId="03118BC9" w14:textId="77777777" w:rsidR="00260BD1" w:rsidRPr="00260BD1" w:rsidRDefault="00260BD1" w:rsidP="00260BD1">
      <w:pPr>
        <w:pStyle w:val="Prrafodelista"/>
        <w:spacing w:after="120"/>
        <w:ind w:left="720"/>
        <w:contextualSpacing/>
        <w:jc w:val="both"/>
        <w:rPr>
          <w:rFonts w:ascii="Arial" w:hAnsi="Arial" w:cs="Arial"/>
          <w:sz w:val="20"/>
          <w:szCs w:val="20"/>
        </w:rPr>
      </w:pPr>
    </w:p>
    <w:p w14:paraId="532C4295"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Vincular el producto local a acontecimientos deportivos, culturales o cualquier otro que pudiese ayudarle a tener visibilidad.</w:t>
      </w:r>
    </w:p>
    <w:p w14:paraId="6403408B" w14:textId="77777777" w:rsidR="00260BD1" w:rsidRPr="00260BD1" w:rsidRDefault="00260BD1" w:rsidP="00260BD1">
      <w:pPr>
        <w:pStyle w:val="Prrafodelista"/>
        <w:spacing w:after="120"/>
        <w:ind w:left="720"/>
        <w:contextualSpacing/>
        <w:jc w:val="both"/>
        <w:rPr>
          <w:rFonts w:ascii="Arial" w:hAnsi="Arial" w:cs="Arial"/>
          <w:sz w:val="20"/>
          <w:szCs w:val="20"/>
        </w:rPr>
      </w:pPr>
    </w:p>
    <w:p w14:paraId="6BD01359"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Impulsar la comercialización de productos de artesanía en el ámbito rural.</w:t>
      </w:r>
    </w:p>
    <w:p w14:paraId="28832B07" w14:textId="77777777" w:rsidR="00260BD1" w:rsidRPr="00260BD1" w:rsidRDefault="00260BD1" w:rsidP="00260BD1">
      <w:pPr>
        <w:pStyle w:val="Prrafodelista"/>
        <w:spacing w:after="120"/>
        <w:ind w:left="720"/>
        <w:contextualSpacing/>
        <w:jc w:val="both"/>
        <w:rPr>
          <w:rFonts w:ascii="Arial" w:hAnsi="Arial" w:cs="Arial"/>
          <w:sz w:val="20"/>
          <w:szCs w:val="20"/>
        </w:rPr>
      </w:pPr>
    </w:p>
    <w:p w14:paraId="4B168262"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Disponer de una herramienta corporativa de comercio electrónico que permita vender desde las webs de las empresas fuera de Canarias.</w:t>
      </w:r>
    </w:p>
    <w:p w14:paraId="3994D772" w14:textId="77777777" w:rsidR="00260BD1" w:rsidRPr="00260BD1" w:rsidRDefault="00260BD1" w:rsidP="00260BD1">
      <w:pPr>
        <w:pStyle w:val="Prrafodelista"/>
        <w:spacing w:after="120"/>
        <w:ind w:left="720"/>
        <w:contextualSpacing/>
        <w:jc w:val="both"/>
        <w:rPr>
          <w:rFonts w:ascii="Arial" w:hAnsi="Arial" w:cs="Arial"/>
          <w:sz w:val="20"/>
          <w:szCs w:val="20"/>
        </w:rPr>
      </w:pPr>
    </w:p>
    <w:p w14:paraId="1E1A1532"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Incrementar el número de ferias a las que se acude vinculándose a las acciones que realicen PROMOTUR y otros organismos públicos.</w:t>
      </w:r>
    </w:p>
    <w:p w14:paraId="017FFAF3"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Renovar acuerdos con cadenas hoteleras y con empresas de distribución para trabajar en la estrategia Crecer Juntos.</w:t>
      </w:r>
    </w:p>
    <w:p w14:paraId="25CAF47A" w14:textId="77777777" w:rsidR="00260BD1" w:rsidRPr="00260BD1" w:rsidRDefault="00260BD1" w:rsidP="00260BD1">
      <w:pPr>
        <w:pStyle w:val="Prrafodelista"/>
        <w:spacing w:after="120"/>
        <w:ind w:left="720"/>
        <w:contextualSpacing/>
        <w:jc w:val="both"/>
        <w:rPr>
          <w:rFonts w:ascii="Arial" w:hAnsi="Arial" w:cs="Arial"/>
          <w:sz w:val="20"/>
          <w:szCs w:val="20"/>
        </w:rPr>
      </w:pPr>
    </w:p>
    <w:p w14:paraId="7611A8A3" w14:textId="77777777" w:rsidR="00260BD1" w:rsidRPr="00260BD1" w:rsidRDefault="00260BD1" w:rsidP="00260BD1">
      <w:pPr>
        <w:pStyle w:val="Prrafodelista"/>
        <w:numPr>
          <w:ilvl w:val="0"/>
          <w:numId w:val="19"/>
        </w:numPr>
        <w:spacing w:after="120"/>
        <w:contextualSpacing/>
        <w:jc w:val="both"/>
        <w:rPr>
          <w:rFonts w:ascii="Arial" w:hAnsi="Arial" w:cs="Arial"/>
          <w:sz w:val="20"/>
          <w:szCs w:val="20"/>
        </w:rPr>
      </w:pPr>
      <w:r w:rsidRPr="00260BD1">
        <w:rPr>
          <w:rFonts w:ascii="Arial" w:hAnsi="Arial" w:cs="Arial"/>
          <w:sz w:val="20"/>
          <w:szCs w:val="20"/>
        </w:rPr>
        <w:t>Impulsar un programa de pruebas piloto para la mejora de los productos locales en el ámbito turístico.</w:t>
      </w:r>
    </w:p>
    <w:p w14:paraId="1E7F6306" w14:textId="77777777" w:rsidR="00260BD1" w:rsidRPr="00260BD1" w:rsidRDefault="00260BD1" w:rsidP="00260BD1">
      <w:pPr>
        <w:pStyle w:val="Prrafodelista"/>
        <w:spacing w:after="120"/>
        <w:ind w:left="720"/>
        <w:contextualSpacing/>
        <w:jc w:val="both"/>
        <w:rPr>
          <w:rFonts w:ascii="Arial" w:hAnsi="Arial" w:cs="Arial"/>
          <w:sz w:val="20"/>
          <w:szCs w:val="20"/>
        </w:rPr>
      </w:pPr>
    </w:p>
    <w:p w14:paraId="1806AB55" w14:textId="77777777" w:rsidR="00260BD1" w:rsidRPr="00260BD1" w:rsidRDefault="00260BD1" w:rsidP="00260BD1">
      <w:pPr>
        <w:pStyle w:val="Prrafodelista"/>
        <w:rPr>
          <w:rFonts w:ascii="Arial" w:hAnsi="Arial" w:cs="Arial"/>
          <w:sz w:val="20"/>
          <w:szCs w:val="20"/>
        </w:rPr>
      </w:pPr>
    </w:p>
    <w:p w14:paraId="52E7A0AA" w14:textId="77777777" w:rsidR="00260BD1" w:rsidRPr="000E4115" w:rsidRDefault="00260BD1" w:rsidP="00260BD1">
      <w:pPr>
        <w:spacing w:after="160" w:line="256" w:lineRule="auto"/>
        <w:rPr>
          <w:rFonts w:eastAsia="Calibri" w:cs="Arial"/>
          <w:szCs w:val="20"/>
        </w:rPr>
      </w:pPr>
      <w:r w:rsidRPr="00260BD1">
        <w:rPr>
          <w:rFonts w:eastAsia="Calibri" w:cs="Arial"/>
          <w:szCs w:val="20"/>
        </w:rPr>
        <w:t>En el ámbito de los Recursos Humanos se espera firmar el primer convenio único de GMR Canarias para evitar la disparidad de condiciones laborales dentro de la empresa y dis</w:t>
      </w:r>
      <w:r w:rsidRPr="000E4115">
        <w:rPr>
          <w:rFonts w:eastAsia="Calibri" w:cs="Arial"/>
          <w:szCs w:val="20"/>
        </w:rPr>
        <w:t>minuir los conflictos laborales que se generan.</w:t>
      </w:r>
    </w:p>
    <w:p w14:paraId="1B0B69DC" w14:textId="77777777" w:rsidR="00260BD1" w:rsidRPr="000E4115" w:rsidRDefault="00260BD1" w:rsidP="00260BD1">
      <w:pPr>
        <w:spacing w:after="160" w:line="256" w:lineRule="auto"/>
        <w:rPr>
          <w:rFonts w:eastAsia="Calibri" w:cs="Arial"/>
          <w:szCs w:val="20"/>
        </w:rPr>
      </w:pPr>
      <w:r w:rsidRPr="000E4115">
        <w:rPr>
          <w:rFonts w:eastAsia="Calibri" w:cs="Arial"/>
          <w:szCs w:val="20"/>
        </w:rPr>
        <w:t>Tras la resolución del contrato de implantación del nuevo ERP por incumplimiento del contratista, durante el ejercicio 202</w:t>
      </w:r>
      <w:r>
        <w:rPr>
          <w:rFonts w:eastAsia="Calibri" w:cs="Arial"/>
          <w:szCs w:val="20"/>
        </w:rPr>
        <w:t>5</w:t>
      </w:r>
      <w:r w:rsidRPr="000E4115">
        <w:rPr>
          <w:rFonts w:eastAsia="Calibri" w:cs="Arial"/>
          <w:szCs w:val="20"/>
        </w:rPr>
        <w:t xml:space="preserve"> la Sociedad licitará nuevamente su implantación, necesaria y urgente para cumplir con la normativa de facturación, que se espera que entre en vigor a </w:t>
      </w:r>
      <w:r>
        <w:rPr>
          <w:rFonts w:eastAsia="Calibri" w:cs="Arial"/>
          <w:szCs w:val="20"/>
        </w:rPr>
        <w:t>finales</w:t>
      </w:r>
      <w:r w:rsidRPr="000E4115">
        <w:rPr>
          <w:rFonts w:eastAsia="Calibri" w:cs="Arial"/>
          <w:szCs w:val="20"/>
        </w:rPr>
        <w:t xml:space="preserve"> de </w:t>
      </w:r>
      <w:r>
        <w:rPr>
          <w:rFonts w:eastAsia="Calibri" w:cs="Arial"/>
          <w:szCs w:val="20"/>
        </w:rPr>
        <w:t>año</w:t>
      </w:r>
      <w:r w:rsidRPr="000E4115">
        <w:rPr>
          <w:rFonts w:eastAsia="Calibri" w:cs="Arial"/>
          <w:szCs w:val="20"/>
        </w:rPr>
        <w:t>.</w:t>
      </w:r>
    </w:p>
    <w:p w14:paraId="1FE8D712" w14:textId="77777777" w:rsidR="00260BD1" w:rsidRDefault="00260BD1" w:rsidP="00260BD1">
      <w:pPr>
        <w:spacing w:after="160" w:line="256" w:lineRule="auto"/>
      </w:pPr>
      <w:r w:rsidRPr="000E4115">
        <w:rPr>
          <w:rFonts w:eastAsia="Calibri" w:cs="Arial"/>
          <w:szCs w:val="20"/>
        </w:rPr>
        <w:t>La Sociedad prevé renovar la certificación del Esquema Nacional de Seguridad (ENS), la ISO 27001 y la ISO 9001.</w:t>
      </w:r>
    </w:p>
    <w:bookmarkEnd w:id="126"/>
    <w:p w14:paraId="748AA7D8" w14:textId="77777777" w:rsidR="00256465" w:rsidRPr="009E368A" w:rsidRDefault="00256465" w:rsidP="00256465">
      <w:pPr>
        <w:spacing w:after="160" w:line="256" w:lineRule="auto"/>
        <w:rPr>
          <w:rFonts w:cs="Arial"/>
          <w:szCs w:val="20"/>
          <w:highlight w:val="yellow"/>
        </w:rPr>
      </w:pPr>
    </w:p>
    <w:p w14:paraId="4EE713E4" w14:textId="77777777" w:rsidR="00A96187" w:rsidRPr="00A97593" w:rsidRDefault="00A96187" w:rsidP="00A96187">
      <w:pPr>
        <w:rPr>
          <w:rFonts w:cs="Arial"/>
          <w:b/>
          <w:szCs w:val="20"/>
        </w:rPr>
      </w:pPr>
      <w:r w:rsidRPr="00A97593">
        <w:rPr>
          <w:rFonts w:cs="Arial"/>
          <w:b/>
          <w:szCs w:val="20"/>
        </w:rPr>
        <w:t>3.</w:t>
      </w:r>
      <w:r w:rsidRPr="00A97593">
        <w:rPr>
          <w:rFonts w:cs="Arial"/>
          <w:b/>
          <w:szCs w:val="20"/>
        </w:rPr>
        <w:tab/>
        <w:t>ACONTECIMIENTOS IMPORTANTES PARA LA SOCIEDAD OCURRIDOS DESPUÉS DEL CIERRE DEL EJERCICIO.</w:t>
      </w:r>
    </w:p>
    <w:p w14:paraId="0D4CEA78" w14:textId="77777777" w:rsidR="0031273E" w:rsidRPr="00A97593" w:rsidRDefault="0031273E" w:rsidP="0031273E">
      <w:pPr>
        <w:pStyle w:val="Standard"/>
        <w:jc w:val="both"/>
        <w:rPr>
          <w:rFonts w:ascii="Arial" w:hAnsi="Arial" w:cs="Arial"/>
          <w:sz w:val="20"/>
          <w:szCs w:val="20"/>
        </w:rPr>
      </w:pPr>
    </w:p>
    <w:p w14:paraId="32304F4C" w14:textId="15F8B4A8" w:rsidR="007E3C9C" w:rsidRDefault="003C78B5" w:rsidP="00671457">
      <w:pPr>
        <w:pStyle w:val="Prrafodelista"/>
        <w:shd w:val="clear" w:color="auto" w:fill="FFFFFF"/>
        <w:ind w:left="0"/>
        <w:jc w:val="both"/>
        <w:rPr>
          <w:rFonts w:ascii="Arial" w:hAnsi="Arial" w:cs="Arial"/>
          <w:sz w:val="20"/>
          <w:szCs w:val="20"/>
        </w:rPr>
      </w:pPr>
      <w:r>
        <w:rPr>
          <w:rFonts w:ascii="Arial" w:hAnsi="Arial" w:cs="Arial"/>
          <w:sz w:val="20"/>
          <w:szCs w:val="20"/>
        </w:rPr>
        <w:t xml:space="preserve">Salvo lo </w:t>
      </w:r>
      <w:r w:rsidR="00E04B1B">
        <w:rPr>
          <w:rFonts w:ascii="Arial" w:hAnsi="Arial" w:cs="Arial"/>
          <w:sz w:val="20"/>
          <w:szCs w:val="20"/>
        </w:rPr>
        <w:t>menciona</w:t>
      </w:r>
      <w:r>
        <w:rPr>
          <w:rFonts w:ascii="Arial" w:hAnsi="Arial" w:cs="Arial"/>
          <w:sz w:val="20"/>
          <w:szCs w:val="20"/>
        </w:rPr>
        <w:t>do en la Nota 20 de la memoria de las cuentas anuales n</w:t>
      </w:r>
      <w:r w:rsidR="00A97593" w:rsidRPr="00A97593">
        <w:rPr>
          <w:rFonts w:ascii="Arial" w:hAnsi="Arial" w:cs="Arial"/>
          <w:sz w:val="20"/>
          <w:szCs w:val="20"/>
        </w:rPr>
        <w:t>o hay acontecim</w:t>
      </w:r>
      <w:r w:rsidR="00C737A1">
        <w:rPr>
          <w:rFonts w:ascii="Arial" w:hAnsi="Arial" w:cs="Arial"/>
          <w:sz w:val="20"/>
          <w:szCs w:val="20"/>
        </w:rPr>
        <w:t>i</w:t>
      </w:r>
      <w:r w:rsidR="00A97593" w:rsidRPr="00A97593">
        <w:rPr>
          <w:rFonts w:ascii="Arial" w:hAnsi="Arial" w:cs="Arial"/>
          <w:sz w:val="20"/>
          <w:szCs w:val="20"/>
        </w:rPr>
        <w:t>entos importantes para la Sociedad ocurridos después del cierre del ejercicio.</w:t>
      </w:r>
    </w:p>
    <w:p w14:paraId="5CE8FD3A" w14:textId="77777777" w:rsidR="00A97593" w:rsidRPr="00A97593" w:rsidRDefault="00A97593" w:rsidP="00671457">
      <w:pPr>
        <w:pStyle w:val="Prrafodelista"/>
        <w:shd w:val="clear" w:color="auto" w:fill="FFFFFF"/>
        <w:ind w:left="0"/>
        <w:jc w:val="both"/>
        <w:rPr>
          <w:rFonts w:ascii="Arial" w:hAnsi="Arial" w:cs="Arial"/>
          <w:sz w:val="20"/>
          <w:szCs w:val="20"/>
        </w:rPr>
      </w:pPr>
    </w:p>
    <w:p w14:paraId="025EF6D2" w14:textId="77777777" w:rsidR="00201100" w:rsidRPr="009E368A" w:rsidRDefault="00201100" w:rsidP="00671457">
      <w:pPr>
        <w:pStyle w:val="Prrafodelista"/>
        <w:shd w:val="clear" w:color="auto" w:fill="FFFFFF"/>
        <w:ind w:left="0"/>
        <w:jc w:val="both"/>
        <w:rPr>
          <w:rFonts w:ascii="Arial" w:hAnsi="Arial" w:cs="Arial"/>
          <w:sz w:val="20"/>
          <w:szCs w:val="20"/>
          <w:highlight w:val="yellow"/>
        </w:rPr>
      </w:pPr>
    </w:p>
    <w:p w14:paraId="102F9276" w14:textId="77777777" w:rsidR="00A96187" w:rsidRPr="00A97593" w:rsidRDefault="00A96187" w:rsidP="00A96187">
      <w:pPr>
        <w:rPr>
          <w:rFonts w:cs="Arial"/>
          <w:b/>
          <w:szCs w:val="20"/>
        </w:rPr>
      </w:pPr>
      <w:r w:rsidRPr="00A97593">
        <w:rPr>
          <w:rFonts w:cs="Arial"/>
          <w:b/>
          <w:szCs w:val="20"/>
        </w:rPr>
        <w:t>4.</w:t>
      </w:r>
      <w:r w:rsidRPr="00A97593">
        <w:rPr>
          <w:rFonts w:cs="Arial"/>
          <w:b/>
          <w:szCs w:val="20"/>
        </w:rPr>
        <w:tab/>
        <w:t>ACTIVIDADES LLEVADAS A CABO EN MATERIA DE INVESTIGACIÓN Y DESARROLLO.</w:t>
      </w:r>
    </w:p>
    <w:p w14:paraId="0C1266E1" w14:textId="77777777" w:rsidR="00A96187" w:rsidRPr="00A97593" w:rsidRDefault="00A96187" w:rsidP="00A96187">
      <w:pPr>
        <w:rPr>
          <w:rFonts w:cs="Arial"/>
          <w:b/>
          <w:szCs w:val="20"/>
        </w:rPr>
      </w:pPr>
    </w:p>
    <w:p w14:paraId="39017E16" w14:textId="250237BE" w:rsidR="00A96187" w:rsidRPr="00A97593" w:rsidRDefault="00A96187" w:rsidP="00A96187">
      <w:pPr>
        <w:pStyle w:val="Prrafodelista"/>
        <w:shd w:val="clear" w:color="auto" w:fill="FFFFFF"/>
        <w:ind w:left="0"/>
        <w:jc w:val="both"/>
        <w:rPr>
          <w:rFonts w:ascii="Arial" w:hAnsi="Arial" w:cs="Arial"/>
          <w:sz w:val="20"/>
          <w:szCs w:val="20"/>
        </w:rPr>
      </w:pPr>
      <w:r w:rsidRPr="00A97593">
        <w:rPr>
          <w:rFonts w:ascii="Arial" w:hAnsi="Arial" w:cs="Arial"/>
          <w:sz w:val="20"/>
          <w:szCs w:val="20"/>
        </w:rPr>
        <w:t>La Sociedad no ha acometido actividades en materia de investigación y desarrollo en el ejercicio 20</w:t>
      </w:r>
      <w:r w:rsidR="00F51CCC" w:rsidRPr="00A97593">
        <w:rPr>
          <w:rFonts w:ascii="Arial" w:hAnsi="Arial" w:cs="Arial"/>
          <w:sz w:val="20"/>
          <w:szCs w:val="20"/>
        </w:rPr>
        <w:t>2</w:t>
      </w:r>
      <w:r w:rsidR="00F12A4D">
        <w:rPr>
          <w:rFonts w:ascii="Arial" w:hAnsi="Arial" w:cs="Arial"/>
          <w:sz w:val="20"/>
          <w:szCs w:val="20"/>
        </w:rPr>
        <w:t>4</w:t>
      </w:r>
      <w:r w:rsidRPr="00A97593">
        <w:rPr>
          <w:rFonts w:ascii="Arial" w:hAnsi="Arial" w:cs="Arial"/>
          <w:sz w:val="20"/>
          <w:szCs w:val="20"/>
        </w:rPr>
        <w:t>.</w:t>
      </w:r>
    </w:p>
    <w:p w14:paraId="094EDC40" w14:textId="77777777" w:rsidR="00C63C2E" w:rsidRPr="00A97593" w:rsidRDefault="00C63C2E" w:rsidP="00671457">
      <w:pPr>
        <w:rPr>
          <w:rFonts w:cs="Arial"/>
          <w:szCs w:val="20"/>
        </w:rPr>
      </w:pPr>
    </w:p>
    <w:p w14:paraId="316436F4" w14:textId="77777777" w:rsidR="007271D3" w:rsidRPr="00A97593" w:rsidRDefault="007271D3" w:rsidP="00671457">
      <w:pPr>
        <w:rPr>
          <w:rFonts w:cs="Arial"/>
          <w:szCs w:val="20"/>
        </w:rPr>
      </w:pPr>
    </w:p>
    <w:p w14:paraId="6C9CEEDA" w14:textId="77777777" w:rsidR="00A96187" w:rsidRPr="00A97593" w:rsidRDefault="00A96187" w:rsidP="00A96187">
      <w:pPr>
        <w:rPr>
          <w:rFonts w:cs="Arial"/>
          <w:b/>
          <w:szCs w:val="20"/>
        </w:rPr>
      </w:pPr>
      <w:r w:rsidRPr="00A97593">
        <w:rPr>
          <w:rFonts w:cs="Arial"/>
          <w:b/>
          <w:szCs w:val="20"/>
        </w:rPr>
        <w:t>5.</w:t>
      </w:r>
      <w:r w:rsidRPr="00A97593">
        <w:rPr>
          <w:rFonts w:cs="Arial"/>
          <w:b/>
          <w:szCs w:val="20"/>
        </w:rPr>
        <w:tab/>
        <w:t>ADQUISICIÓN DE ACCIONES PROPIAS.</w:t>
      </w:r>
    </w:p>
    <w:p w14:paraId="5B841495" w14:textId="77777777" w:rsidR="00A96187" w:rsidRPr="00A97593" w:rsidRDefault="00A96187" w:rsidP="00A96187">
      <w:pPr>
        <w:rPr>
          <w:rFonts w:cs="Arial"/>
          <w:b/>
          <w:szCs w:val="20"/>
        </w:rPr>
      </w:pPr>
    </w:p>
    <w:p w14:paraId="75168DD7" w14:textId="510EDE7F" w:rsidR="00A96187" w:rsidRPr="00A97593" w:rsidRDefault="00A96187" w:rsidP="00A96187">
      <w:pPr>
        <w:pStyle w:val="Prrafodelista"/>
        <w:shd w:val="clear" w:color="auto" w:fill="FFFFFF"/>
        <w:ind w:left="0"/>
        <w:jc w:val="both"/>
        <w:rPr>
          <w:rFonts w:ascii="Arial" w:hAnsi="Arial" w:cs="Arial"/>
          <w:sz w:val="20"/>
          <w:szCs w:val="20"/>
        </w:rPr>
      </w:pPr>
      <w:r w:rsidRPr="00A97593">
        <w:rPr>
          <w:rFonts w:ascii="Arial" w:hAnsi="Arial" w:cs="Arial"/>
          <w:sz w:val="20"/>
          <w:szCs w:val="20"/>
        </w:rPr>
        <w:t>La Sociedad no ha adquirido acciones propias durante el ejercicio 20</w:t>
      </w:r>
      <w:r w:rsidR="00F51CCC" w:rsidRPr="00A97593">
        <w:rPr>
          <w:rFonts w:ascii="Arial" w:hAnsi="Arial" w:cs="Arial"/>
          <w:sz w:val="20"/>
          <w:szCs w:val="20"/>
        </w:rPr>
        <w:t>2</w:t>
      </w:r>
      <w:r w:rsidR="00F12A4D">
        <w:rPr>
          <w:rFonts w:ascii="Arial" w:hAnsi="Arial" w:cs="Arial"/>
          <w:sz w:val="20"/>
          <w:szCs w:val="20"/>
        </w:rPr>
        <w:t>4</w:t>
      </w:r>
      <w:r w:rsidRPr="00A97593">
        <w:rPr>
          <w:rFonts w:ascii="Arial" w:hAnsi="Arial" w:cs="Arial"/>
          <w:sz w:val="20"/>
          <w:szCs w:val="20"/>
        </w:rPr>
        <w:t>.</w:t>
      </w:r>
    </w:p>
    <w:p w14:paraId="23514E7F" w14:textId="77777777" w:rsidR="0053199C" w:rsidRPr="00A97593" w:rsidRDefault="0053199C" w:rsidP="00A96187">
      <w:pPr>
        <w:pStyle w:val="Prrafodelista"/>
        <w:shd w:val="clear" w:color="auto" w:fill="FFFFFF"/>
        <w:ind w:left="0"/>
        <w:jc w:val="both"/>
        <w:rPr>
          <w:rFonts w:ascii="Arial" w:hAnsi="Arial" w:cs="Arial"/>
          <w:sz w:val="20"/>
          <w:szCs w:val="20"/>
        </w:rPr>
      </w:pPr>
    </w:p>
    <w:p w14:paraId="10615EF8" w14:textId="77777777" w:rsidR="00B931AD" w:rsidRPr="00A97593" w:rsidRDefault="00B931AD" w:rsidP="00A96187">
      <w:pPr>
        <w:pStyle w:val="Prrafodelista"/>
        <w:shd w:val="clear" w:color="auto" w:fill="FFFFFF"/>
        <w:ind w:left="0"/>
        <w:jc w:val="both"/>
        <w:rPr>
          <w:rFonts w:ascii="Arial" w:hAnsi="Arial" w:cs="Arial"/>
          <w:sz w:val="20"/>
          <w:szCs w:val="20"/>
        </w:rPr>
      </w:pPr>
    </w:p>
    <w:p w14:paraId="02F980B1" w14:textId="77777777" w:rsidR="00A96187" w:rsidRPr="00A97593" w:rsidRDefault="00C63C2E" w:rsidP="00A96187">
      <w:pPr>
        <w:rPr>
          <w:rFonts w:cs="Arial"/>
          <w:b/>
          <w:szCs w:val="20"/>
        </w:rPr>
      </w:pPr>
      <w:bookmarkStart w:id="132" w:name="_Hlk2762068"/>
      <w:r w:rsidRPr="00A97593">
        <w:rPr>
          <w:rFonts w:cs="Arial"/>
          <w:b/>
          <w:szCs w:val="20"/>
        </w:rPr>
        <w:t>6</w:t>
      </w:r>
      <w:r w:rsidR="00A96187" w:rsidRPr="00A97593">
        <w:rPr>
          <w:rFonts w:cs="Arial"/>
          <w:b/>
          <w:szCs w:val="20"/>
        </w:rPr>
        <w:t>.</w:t>
      </w:r>
      <w:r w:rsidR="00A96187" w:rsidRPr="00A97593">
        <w:rPr>
          <w:rFonts w:cs="Arial"/>
          <w:b/>
          <w:szCs w:val="20"/>
        </w:rPr>
        <w:tab/>
      </w:r>
      <w:r w:rsidRPr="00A97593">
        <w:rPr>
          <w:rFonts w:cs="Arial"/>
          <w:b/>
          <w:szCs w:val="20"/>
        </w:rPr>
        <w:t>EVOLUCIÓN PREVISIBLE DE LA SOCIEDAD</w:t>
      </w:r>
      <w:r w:rsidR="00A96187" w:rsidRPr="00A97593">
        <w:rPr>
          <w:rFonts w:cs="Arial"/>
          <w:b/>
          <w:szCs w:val="20"/>
        </w:rPr>
        <w:t>.</w:t>
      </w:r>
    </w:p>
    <w:p w14:paraId="38CACB29" w14:textId="77777777" w:rsidR="00A96187" w:rsidRPr="00A97593" w:rsidRDefault="00A96187" w:rsidP="00A96187">
      <w:pPr>
        <w:rPr>
          <w:rFonts w:cs="Arial"/>
          <w:b/>
          <w:szCs w:val="20"/>
        </w:rPr>
      </w:pPr>
    </w:p>
    <w:p w14:paraId="56E0BAF6" w14:textId="77777777" w:rsidR="00C63C2E" w:rsidRDefault="00C63C2E" w:rsidP="00C63C2E">
      <w:pPr>
        <w:pStyle w:val="Prrafodelista"/>
        <w:shd w:val="clear" w:color="auto" w:fill="FFFFFF"/>
        <w:ind w:left="0"/>
        <w:jc w:val="both"/>
        <w:rPr>
          <w:rFonts w:ascii="Arial" w:hAnsi="Arial" w:cs="Arial"/>
          <w:sz w:val="20"/>
          <w:szCs w:val="20"/>
        </w:rPr>
      </w:pPr>
      <w:r w:rsidRPr="00A97593">
        <w:rPr>
          <w:rFonts w:ascii="Arial" w:hAnsi="Arial" w:cs="Arial"/>
          <w:sz w:val="20"/>
          <w:szCs w:val="20"/>
        </w:rPr>
        <w:t xml:space="preserve">Nada que destacar </w:t>
      </w:r>
      <w:bookmarkEnd w:id="132"/>
      <w:r w:rsidRPr="00A97593">
        <w:rPr>
          <w:rFonts w:ascii="Arial" w:hAnsi="Arial" w:cs="Arial"/>
          <w:sz w:val="20"/>
          <w:szCs w:val="20"/>
        </w:rPr>
        <w:t>de lo ya comentado anteriormente en las cuentas anuales.</w:t>
      </w:r>
    </w:p>
    <w:p w14:paraId="7465B4F8" w14:textId="77777777" w:rsidR="00F12A4D" w:rsidRDefault="00F12A4D" w:rsidP="00C63C2E">
      <w:pPr>
        <w:pStyle w:val="Prrafodelista"/>
        <w:shd w:val="clear" w:color="auto" w:fill="FFFFFF"/>
        <w:ind w:left="0"/>
        <w:jc w:val="both"/>
        <w:rPr>
          <w:rFonts w:ascii="Arial" w:hAnsi="Arial" w:cs="Arial"/>
          <w:sz w:val="20"/>
          <w:szCs w:val="20"/>
        </w:rPr>
      </w:pPr>
    </w:p>
    <w:p w14:paraId="32352369" w14:textId="77777777" w:rsidR="00F12A4D" w:rsidRPr="00A97593" w:rsidRDefault="00F12A4D" w:rsidP="00C63C2E">
      <w:pPr>
        <w:pStyle w:val="Prrafodelista"/>
        <w:shd w:val="clear" w:color="auto" w:fill="FFFFFF"/>
        <w:ind w:left="0"/>
        <w:jc w:val="both"/>
        <w:rPr>
          <w:rFonts w:ascii="Arial" w:hAnsi="Arial" w:cs="Arial"/>
          <w:sz w:val="20"/>
          <w:szCs w:val="20"/>
        </w:rPr>
      </w:pPr>
    </w:p>
    <w:p w14:paraId="13293535" w14:textId="77777777" w:rsidR="00A64D04" w:rsidRPr="00A97593" w:rsidRDefault="00A64D04" w:rsidP="00A64D04">
      <w:pPr>
        <w:rPr>
          <w:rFonts w:cs="Arial"/>
          <w:b/>
          <w:szCs w:val="20"/>
        </w:rPr>
      </w:pPr>
      <w:r w:rsidRPr="00A97593">
        <w:rPr>
          <w:rFonts w:cs="Arial"/>
          <w:b/>
          <w:szCs w:val="20"/>
        </w:rPr>
        <w:t>7.</w:t>
      </w:r>
      <w:r w:rsidRPr="00A97593">
        <w:rPr>
          <w:rFonts w:cs="Arial"/>
          <w:b/>
          <w:szCs w:val="20"/>
        </w:rPr>
        <w:tab/>
        <w:t>MEDIOAMBIENTE.</w:t>
      </w:r>
    </w:p>
    <w:p w14:paraId="2EEAE6C8" w14:textId="77777777" w:rsidR="00A64D04" w:rsidRPr="00A97593" w:rsidRDefault="00A64D04" w:rsidP="00A64D04">
      <w:pPr>
        <w:rPr>
          <w:rFonts w:cs="Arial"/>
          <w:b/>
          <w:szCs w:val="20"/>
        </w:rPr>
      </w:pPr>
    </w:p>
    <w:p w14:paraId="04A446CC" w14:textId="77777777" w:rsidR="00A64D04" w:rsidRPr="00A97593" w:rsidRDefault="00A64D04" w:rsidP="00A64D04">
      <w:pPr>
        <w:rPr>
          <w:rFonts w:cs="Arial"/>
          <w:szCs w:val="20"/>
          <w:lang w:val="es-ES" w:eastAsia="es-ES"/>
        </w:rPr>
      </w:pPr>
      <w:r w:rsidRPr="00A97593">
        <w:rPr>
          <w:rFonts w:cs="Arial"/>
          <w:szCs w:val="20"/>
        </w:rPr>
        <w:t>La Sociedad tiene sus instalaciones en un estado que permite cumplir con todas las normas referentes al medioambiente. No ha sido necesario incurrir en gastos e inversiones particulares y tampoco fue necesaria la dotación de provisiones al respecto.</w:t>
      </w:r>
    </w:p>
    <w:p w14:paraId="2D3CC62B" w14:textId="77777777" w:rsidR="00A64D04" w:rsidRPr="00A97593" w:rsidRDefault="00A64D04" w:rsidP="00A64D04">
      <w:pPr>
        <w:rPr>
          <w:rFonts w:cs="Arial"/>
          <w:szCs w:val="20"/>
          <w:lang w:val="es-ES" w:eastAsia="es-ES"/>
        </w:rPr>
      </w:pPr>
    </w:p>
    <w:p w14:paraId="6A33E088" w14:textId="77777777" w:rsidR="00A64D04" w:rsidRPr="00A97593" w:rsidRDefault="00A64D04" w:rsidP="00A64D04">
      <w:pPr>
        <w:rPr>
          <w:rFonts w:cs="Arial"/>
          <w:b/>
          <w:szCs w:val="20"/>
        </w:rPr>
      </w:pPr>
      <w:r w:rsidRPr="00A97593">
        <w:rPr>
          <w:rFonts w:cs="Arial"/>
          <w:b/>
          <w:szCs w:val="20"/>
        </w:rPr>
        <w:lastRenderedPageBreak/>
        <w:t>8.</w:t>
      </w:r>
      <w:r w:rsidRPr="00A97593">
        <w:rPr>
          <w:rFonts w:cs="Arial"/>
          <w:b/>
          <w:szCs w:val="20"/>
        </w:rPr>
        <w:tab/>
        <w:t>USO DE INSTRUMENTOS FINANCIEROS DE LA SOCIEDAD.</w:t>
      </w:r>
    </w:p>
    <w:p w14:paraId="63399FD0" w14:textId="77777777" w:rsidR="00A64D04" w:rsidRPr="00A97593" w:rsidRDefault="00A64D04" w:rsidP="00A64D04">
      <w:pPr>
        <w:rPr>
          <w:rFonts w:cs="Arial"/>
          <w:b/>
          <w:szCs w:val="20"/>
        </w:rPr>
      </w:pPr>
    </w:p>
    <w:p w14:paraId="1B752FAC" w14:textId="38C348BF" w:rsidR="00A64D04" w:rsidRPr="00A97593" w:rsidRDefault="00A64D04" w:rsidP="00A64D04">
      <w:pPr>
        <w:rPr>
          <w:rFonts w:cs="Arial"/>
          <w:szCs w:val="20"/>
          <w:lang w:val="es-ES" w:eastAsia="es-ES"/>
        </w:rPr>
      </w:pPr>
      <w:r w:rsidRPr="00A97593">
        <w:rPr>
          <w:rFonts w:cs="Arial"/>
          <w:szCs w:val="20"/>
        </w:rPr>
        <w:t>La información relativa a los instrumentos financieros que tiene la Sociedad al cierre del ejercicio 20</w:t>
      </w:r>
      <w:r w:rsidR="00F51CCC" w:rsidRPr="00A97593">
        <w:rPr>
          <w:rFonts w:cs="Arial"/>
          <w:szCs w:val="20"/>
        </w:rPr>
        <w:t>2</w:t>
      </w:r>
      <w:r w:rsidR="00690720">
        <w:rPr>
          <w:rFonts w:cs="Arial"/>
          <w:szCs w:val="20"/>
        </w:rPr>
        <w:t>4</w:t>
      </w:r>
      <w:r w:rsidRPr="00A97593">
        <w:rPr>
          <w:rFonts w:cs="Arial"/>
          <w:szCs w:val="20"/>
        </w:rPr>
        <w:t xml:space="preserve"> figura adecuadamente desglosada en las notas de la memoria de las cuentas anuales correspondientes al ejercicio 20</w:t>
      </w:r>
      <w:r w:rsidR="00F51CCC" w:rsidRPr="00A97593">
        <w:rPr>
          <w:rFonts w:cs="Arial"/>
          <w:szCs w:val="20"/>
        </w:rPr>
        <w:t>2</w:t>
      </w:r>
      <w:r w:rsidR="00F12A4D">
        <w:rPr>
          <w:rFonts w:cs="Arial"/>
          <w:szCs w:val="20"/>
        </w:rPr>
        <w:t>4</w:t>
      </w:r>
      <w:r w:rsidRPr="00A97593">
        <w:rPr>
          <w:rFonts w:cs="Arial"/>
          <w:szCs w:val="20"/>
        </w:rPr>
        <w:t>.</w:t>
      </w:r>
    </w:p>
    <w:p w14:paraId="79B29832" w14:textId="77777777" w:rsidR="00A64D04" w:rsidRPr="009E368A" w:rsidRDefault="00A64D04" w:rsidP="00A64D04">
      <w:pPr>
        <w:rPr>
          <w:rFonts w:cs="Arial"/>
          <w:szCs w:val="20"/>
          <w:highlight w:val="yellow"/>
        </w:rPr>
        <w:sectPr w:rsidR="00A64D04" w:rsidRPr="009E368A" w:rsidSect="0044134B">
          <w:headerReference w:type="even" r:id="rId109"/>
          <w:headerReference w:type="default" r:id="rId110"/>
          <w:footerReference w:type="default" r:id="rId111"/>
          <w:headerReference w:type="first" r:id="rId112"/>
          <w:pgSz w:w="11907" w:h="16840" w:code="9"/>
          <w:pgMar w:top="1797" w:right="1440" w:bottom="1701" w:left="1440" w:header="1134" w:footer="567" w:gutter="0"/>
          <w:pgNumType w:start="1"/>
          <w:cols w:space="720"/>
          <w:docGrid w:linePitch="360"/>
        </w:sectPr>
      </w:pPr>
    </w:p>
    <w:p w14:paraId="6AA90A5C" w14:textId="77777777" w:rsidR="00237E4F" w:rsidRDefault="00237E4F" w:rsidP="002757DA">
      <w:pPr>
        <w:spacing w:before="240"/>
      </w:pPr>
    </w:p>
    <w:sectPr w:rsidR="00237E4F" w:rsidSect="002E4146">
      <w:headerReference w:type="even" r:id="rId113"/>
      <w:headerReference w:type="default" r:id="rId114"/>
      <w:footerReference w:type="default" r:id="rId115"/>
      <w:headerReference w:type="first" r:id="rId116"/>
      <w:pgSz w:w="11907" w:h="16840" w:code="9"/>
      <w:pgMar w:top="1797" w:right="1440" w:bottom="1701" w:left="1440" w:header="113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F30F0" w14:textId="77777777" w:rsidR="00C17330" w:rsidRDefault="00C17330" w:rsidP="00F64B8B">
      <w:r>
        <w:separator/>
      </w:r>
    </w:p>
  </w:endnote>
  <w:endnote w:type="continuationSeparator" w:id="0">
    <w:p w14:paraId="3EA37E6F" w14:textId="77777777" w:rsidR="00C17330" w:rsidRDefault="00C17330" w:rsidP="00F6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
    <w:altName w:val="Calibri"/>
    <w:charset w:val="00"/>
    <w:family w:val="auto"/>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2E44" w14:textId="77777777" w:rsidR="00136458" w:rsidRDefault="00136458" w:rsidP="0044134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E57D7EC" w14:textId="77777777" w:rsidR="00136458" w:rsidRDefault="00136458" w:rsidP="0044134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38EC" w14:textId="77777777" w:rsidR="00136458" w:rsidRPr="00F503CA" w:rsidRDefault="00136458" w:rsidP="00BD3EB0">
    <w:pPr>
      <w:jc w:val="right"/>
      <w:rPr>
        <w:rFonts w:cs="Arial"/>
        <w:sz w:val="18"/>
        <w:szCs w:val="18"/>
      </w:rPr>
    </w:pPr>
    <w:r w:rsidRPr="00F503CA">
      <w:rPr>
        <w:rFonts w:cs="Arial"/>
        <w:sz w:val="18"/>
        <w:szCs w:val="18"/>
      </w:rPr>
      <w:fldChar w:fldCharType="begin"/>
    </w:r>
    <w:r w:rsidRPr="00F503CA">
      <w:rPr>
        <w:rFonts w:cs="Arial"/>
        <w:sz w:val="18"/>
        <w:szCs w:val="18"/>
      </w:rPr>
      <w:instrText xml:space="preserve"> PAGE </w:instrText>
    </w:r>
    <w:r w:rsidRPr="00F503CA">
      <w:rPr>
        <w:rFonts w:cs="Arial"/>
        <w:sz w:val="18"/>
        <w:szCs w:val="18"/>
      </w:rPr>
      <w:fldChar w:fldCharType="separate"/>
    </w:r>
    <w:r>
      <w:rPr>
        <w:rFonts w:cs="Arial"/>
        <w:noProof/>
        <w:sz w:val="18"/>
        <w:szCs w:val="18"/>
      </w:rPr>
      <w:t>51</w:t>
    </w:r>
    <w:r w:rsidRPr="00F503CA">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1A1B" w14:textId="77777777" w:rsidR="00136458" w:rsidRDefault="00136458" w:rsidP="0044134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w:t>
    </w:r>
    <w:r>
      <w:rPr>
        <w:rStyle w:val="Nmerodepgina"/>
      </w:rPr>
      <w:fldChar w:fldCharType="end"/>
    </w:r>
  </w:p>
  <w:p w14:paraId="04315BC6" w14:textId="77777777" w:rsidR="00136458" w:rsidRPr="00F503CA" w:rsidRDefault="00136458" w:rsidP="0044134B">
    <w:pPr>
      <w:ind w:right="360"/>
      <w:jc w:val="right"/>
      <w:rPr>
        <w:rFonts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EA16" w14:textId="77777777" w:rsidR="00136458" w:rsidRPr="00F503CA" w:rsidRDefault="00136458" w:rsidP="00BD3EB0">
    <w:pPr>
      <w:jc w:val="right"/>
      <w:rPr>
        <w:rFonts w:cs="Arial"/>
        <w:sz w:val="18"/>
        <w:szCs w:val="18"/>
      </w:rPr>
    </w:pPr>
    <w:r>
      <w:rPr>
        <w:rFonts w:cs="Arial"/>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63E1E" w14:textId="77777777" w:rsidR="00C17330" w:rsidRDefault="00C17330" w:rsidP="00F64B8B">
      <w:r>
        <w:separator/>
      </w:r>
    </w:p>
  </w:footnote>
  <w:footnote w:type="continuationSeparator" w:id="0">
    <w:p w14:paraId="0ED2A93A" w14:textId="77777777" w:rsidR="00C17330" w:rsidRDefault="00C17330" w:rsidP="00F64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A46C5" w14:textId="77777777" w:rsidR="00136458" w:rsidRDefault="00136458">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2A88" w14:textId="77777777" w:rsidR="00136458" w:rsidRDefault="00136458">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4EABB" w14:textId="77777777" w:rsidR="00136458" w:rsidRPr="00E92CA7" w:rsidRDefault="00136458" w:rsidP="00EA3914">
    <w:pPr>
      <w:rPr>
        <w:rFonts w:cs="Arial"/>
        <w:b/>
        <w:szCs w:val="20"/>
      </w:rPr>
    </w:pPr>
  </w:p>
  <w:p w14:paraId="13DDB6B1" w14:textId="77777777" w:rsidR="00136458" w:rsidRPr="00E92CA7" w:rsidRDefault="00136458" w:rsidP="004748EE">
    <w:pPr>
      <w:rPr>
        <w:rFonts w:cs="Arial"/>
        <w:b/>
        <w:szCs w:val="20"/>
      </w:rPr>
    </w:pPr>
    <w:r>
      <w:rPr>
        <w:rFonts w:cs="Arial"/>
        <w:b/>
        <w:szCs w:val="20"/>
      </w:rPr>
      <w:t>GESTIÓN DEL MEDIO RURAL DE CANARIAS</w:t>
    </w:r>
    <w:r w:rsidRPr="00E92CA7">
      <w:rPr>
        <w:rFonts w:cs="Arial"/>
        <w:b/>
        <w:szCs w:val="20"/>
      </w:rPr>
      <w:t>, S.A.</w:t>
    </w:r>
    <w:r>
      <w:rPr>
        <w:rFonts w:cs="Arial"/>
        <w:b/>
        <w:szCs w:val="20"/>
      </w:rPr>
      <w:t xml:space="preserve"> Unipersonal</w:t>
    </w:r>
  </w:p>
  <w:p w14:paraId="3BB664F7" w14:textId="05325374" w:rsidR="00136458" w:rsidRPr="00E92CA7" w:rsidRDefault="00136458" w:rsidP="004748EE">
    <w:pPr>
      <w:rPr>
        <w:rFonts w:cs="Arial"/>
        <w:b/>
        <w:szCs w:val="20"/>
      </w:rPr>
    </w:pPr>
    <w:r>
      <w:rPr>
        <w:rFonts w:cs="Arial"/>
        <w:b/>
        <w:szCs w:val="20"/>
      </w:rPr>
      <w:t>Informe de Gestión</w:t>
    </w:r>
    <w:r w:rsidRPr="00E92CA7">
      <w:rPr>
        <w:rFonts w:cs="Arial"/>
        <w:b/>
        <w:szCs w:val="20"/>
      </w:rPr>
      <w:t xml:space="preserve"> correspondiente al ejercicio anual terminado el 31 de diciembre de 20</w:t>
    </w:r>
    <w:r>
      <w:rPr>
        <w:rFonts w:cs="Arial"/>
        <w:b/>
        <w:szCs w:val="20"/>
      </w:rPr>
      <w:t>2</w:t>
    </w:r>
    <w:r w:rsidR="00BD3737">
      <w:rPr>
        <w:rFonts w:cs="Arial"/>
        <w:b/>
        <w:szCs w:val="20"/>
      </w:rPr>
      <w:t>4</w:t>
    </w:r>
  </w:p>
  <w:p w14:paraId="5F4C2834" w14:textId="77777777" w:rsidR="00136458" w:rsidRPr="00E92CA7" w:rsidRDefault="00136458" w:rsidP="007B6BAF">
    <w:pPr>
      <w:rPr>
        <w:rFonts w:cs="Arial"/>
        <w:b/>
        <w:szCs w:val="20"/>
      </w:rPr>
    </w:pPr>
  </w:p>
  <w:p w14:paraId="07AF2FE1" w14:textId="77777777" w:rsidR="00136458" w:rsidRDefault="00136458">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AC32" w14:textId="77777777" w:rsidR="00136458" w:rsidRDefault="00136458">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EC85" w14:textId="77777777" w:rsidR="00136458" w:rsidRDefault="00136458">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BFF3" w14:textId="77777777" w:rsidR="00136458" w:rsidRPr="00E92CA7" w:rsidRDefault="00136458" w:rsidP="00EA3914">
    <w:pPr>
      <w:rPr>
        <w:rFonts w:cs="Arial"/>
        <w:b/>
        <w:szCs w:val="20"/>
      </w:rPr>
    </w:pPr>
  </w:p>
  <w:p w14:paraId="311E7ED3" w14:textId="77777777" w:rsidR="00136458" w:rsidRPr="00E92CA7" w:rsidRDefault="00136458" w:rsidP="007B6BAF">
    <w:pPr>
      <w:rPr>
        <w:rFonts w:cs="Arial"/>
        <w:b/>
        <w:szCs w:val="20"/>
      </w:rPr>
    </w:pPr>
  </w:p>
  <w:p w14:paraId="79F43905" w14:textId="77777777" w:rsidR="00136458" w:rsidRDefault="00136458">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C9E0" w14:textId="77777777" w:rsidR="00136458" w:rsidRDefault="001364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3882" w14:textId="77777777" w:rsidR="00136458" w:rsidRDefault="001364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E1B0" w14:textId="77777777" w:rsidR="00136458" w:rsidRDefault="0013645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7B3E" w14:textId="77777777" w:rsidR="00136458" w:rsidRDefault="0013645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D008" w14:textId="77777777" w:rsidR="00136458" w:rsidRPr="00E92CA7" w:rsidRDefault="00136458" w:rsidP="00EA3914">
    <w:pPr>
      <w:rPr>
        <w:rFonts w:cs="Arial"/>
        <w:b/>
        <w:szCs w:val="20"/>
      </w:rPr>
    </w:pPr>
  </w:p>
  <w:p w14:paraId="0433975B" w14:textId="77777777" w:rsidR="00136458" w:rsidRDefault="0013645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15DB" w14:textId="77777777" w:rsidR="00136458" w:rsidRDefault="0013645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1421" w14:textId="77777777" w:rsidR="00136458" w:rsidRDefault="0013645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C205" w14:textId="77777777" w:rsidR="00136458" w:rsidRPr="00E92CA7" w:rsidRDefault="00136458" w:rsidP="007B6BAF">
    <w:pPr>
      <w:rPr>
        <w:rFonts w:cs="Arial"/>
        <w:b/>
        <w:szCs w:val="20"/>
      </w:rPr>
    </w:pPr>
    <w:r>
      <w:rPr>
        <w:rFonts w:cs="Arial"/>
        <w:b/>
        <w:szCs w:val="20"/>
      </w:rPr>
      <w:t>GESTION DEL MEDIO RURAL DE CANARIAS</w:t>
    </w:r>
    <w:r w:rsidRPr="00E92CA7">
      <w:rPr>
        <w:rFonts w:cs="Arial"/>
        <w:b/>
        <w:szCs w:val="20"/>
      </w:rPr>
      <w:t>, S.A.</w:t>
    </w:r>
    <w:r>
      <w:rPr>
        <w:rFonts w:cs="Arial"/>
        <w:b/>
        <w:szCs w:val="20"/>
      </w:rPr>
      <w:t xml:space="preserve"> Unipersonal</w:t>
    </w:r>
  </w:p>
  <w:p w14:paraId="49E3FB01" w14:textId="2CCA0DF6" w:rsidR="00136458" w:rsidRDefault="00136458" w:rsidP="007B6BAF">
    <w:pPr>
      <w:rPr>
        <w:rFonts w:cs="Arial"/>
        <w:b/>
        <w:szCs w:val="20"/>
      </w:rPr>
    </w:pPr>
    <w:r w:rsidRPr="00E92CA7">
      <w:rPr>
        <w:rFonts w:cs="Arial"/>
        <w:b/>
        <w:szCs w:val="20"/>
      </w:rPr>
      <w:t>Memoria correspondiente al ejercicio anual term</w:t>
    </w:r>
    <w:r>
      <w:rPr>
        <w:rFonts w:cs="Arial"/>
        <w:b/>
        <w:szCs w:val="20"/>
      </w:rPr>
      <w:t>inado el 31 de diciembre de 202</w:t>
    </w:r>
    <w:r w:rsidR="00135A39">
      <w:rPr>
        <w:rFonts w:cs="Arial"/>
        <w:b/>
        <w:szCs w:val="20"/>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EDC0" w14:textId="77777777" w:rsidR="00136458" w:rsidRDefault="001364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5D99"/>
    <w:multiLevelType w:val="hybridMultilevel"/>
    <w:tmpl w:val="E0F6EE3E"/>
    <w:lvl w:ilvl="0" w:tplc="D49263DC">
      <w:numFmt w:val="bullet"/>
      <w:lvlText w:val="-"/>
      <w:lvlJc w:val="left"/>
      <w:pPr>
        <w:ind w:left="720" w:hanging="360"/>
      </w:pPr>
      <w:rPr>
        <w:rFonts w:ascii="Arial" w:eastAsia="Calibri"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18C86E86"/>
    <w:multiLevelType w:val="hybridMultilevel"/>
    <w:tmpl w:val="2FBC89B8"/>
    <w:lvl w:ilvl="0" w:tplc="C956A5E0">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2718F9"/>
    <w:multiLevelType w:val="hybridMultilevel"/>
    <w:tmpl w:val="87DA40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D66683B"/>
    <w:multiLevelType w:val="hybridMultilevel"/>
    <w:tmpl w:val="C486BED4"/>
    <w:lvl w:ilvl="0" w:tplc="0C0A0001">
      <w:start w:val="1"/>
      <w:numFmt w:val="bullet"/>
      <w:lvlText w:val=""/>
      <w:lvlJc w:val="left"/>
      <w:pPr>
        <w:ind w:left="143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15:restartNumberingAfterBreak="0">
    <w:nsid w:val="2E896740"/>
    <w:multiLevelType w:val="hybridMultilevel"/>
    <w:tmpl w:val="AE0C6D54"/>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5471028"/>
    <w:multiLevelType w:val="hybridMultilevel"/>
    <w:tmpl w:val="F2705B7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331F4E"/>
    <w:multiLevelType w:val="hybridMultilevel"/>
    <w:tmpl w:val="A70E3B92"/>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36005B0"/>
    <w:multiLevelType w:val="hybridMultilevel"/>
    <w:tmpl w:val="C2E07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5410527"/>
    <w:multiLevelType w:val="hybridMultilevel"/>
    <w:tmpl w:val="A0A66B4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0F5B71"/>
    <w:multiLevelType w:val="hybridMultilevel"/>
    <w:tmpl w:val="9EB8742C"/>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E93190E"/>
    <w:multiLevelType w:val="hybridMultilevel"/>
    <w:tmpl w:val="A88C8236"/>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4F292354"/>
    <w:multiLevelType w:val="hybridMultilevel"/>
    <w:tmpl w:val="016E29C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15:restartNumberingAfterBreak="0">
    <w:nsid w:val="54201449"/>
    <w:multiLevelType w:val="hybridMultilevel"/>
    <w:tmpl w:val="C51AFF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4840CDC"/>
    <w:multiLevelType w:val="hybridMultilevel"/>
    <w:tmpl w:val="6DFE37EE"/>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4" w15:restartNumberingAfterBreak="0">
    <w:nsid w:val="5E217213"/>
    <w:multiLevelType w:val="hybridMultilevel"/>
    <w:tmpl w:val="1BA277E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F4F266F"/>
    <w:multiLevelType w:val="hybridMultilevel"/>
    <w:tmpl w:val="3E50D8E0"/>
    <w:lvl w:ilvl="0" w:tplc="E9226A9E">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8B538D5"/>
    <w:multiLevelType w:val="multilevel"/>
    <w:tmpl w:val="F6024752"/>
    <w:lvl w:ilvl="0">
      <w:start w:val="1"/>
      <w:numFmt w:val="lowerLetter"/>
      <w:lvlText w:val="%1)"/>
      <w:lvlJc w:val="left"/>
      <w:pPr>
        <w:ind w:left="833" w:hanging="36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7" w15:restartNumberingAfterBreak="0">
    <w:nsid w:val="724C2198"/>
    <w:multiLevelType w:val="hybridMultilevel"/>
    <w:tmpl w:val="C588730A"/>
    <w:lvl w:ilvl="0" w:tplc="E9226A9E">
      <w:start w:val="8"/>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37E759C"/>
    <w:multiLevelType w:val="multilevel"/>
    <w:tmpl w:val="84CAB5EC"/>
    <w:lvl w:ilvl="0">
      <w:start w:val="2"/>
      <w:numFmt w:val="decimal"/>
      <w:lvlText w:val="%1"/>
      <w:lvlJc w:val="left"/>
      <w:pPr>
        <w:tabs>
          <w:tab w:val="num" w:pos="720"/>
        </w:tabs>
        <w:ind w:left="720" w:hanging="720"/>
      </w:pPr>
      <w:rPr>
        <w:rFonts w:hint="default"/>
        <w:b/>
        <w:color w:val="auto"/>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080"/>
        </w:tabs>
        <w:ind w:left="1080" w:hanging="108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440"/>
        </w:tabs>
        <w:ind w:left="1440" w:hanging="144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19" w15:restartNumberingAfterBreak="0">
    <w:nsid w:val="7BF52B90"/>
    <w:multiLevelType w:val="hybridMultilevel"/>
    <w:tmpl w:val="E80808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528831671">
    <w:abstractNumId w:val="14"/>
  </w:num>
  <w:num w:numId="2" w16cid:durableId="1672640903">
    <w:abstractNumId w:val="18"/>
  </w:num>
  <w:num w:numId="3" w16cid:durableId="1907447903">
    <w:abstractNumId w:val="6"/>
  </w:num>
  <w:num w:numId="4" w16cid:durableId="144978740">
    <w:abstractNumId w:val="8"/>
  </w:num>
  <w:num w:numId="5" w16cid:durableId="787747675">
    <w:abstractNumId w:val="5"/>
  </w:num>
  <w:num w:numId="6" w16cid:durableId="56754809">
    <w:abstractNumId w:val="9"/>
  </w:num>
  <w:num w:numId="7" w16cid:durableId="1688680647">
    <w:abstractNumId w:val="17"/>
  </w:num>
  <w:num w:numId="8" w16cid:durableId="2065136753">
    <w:abstractNumId w:val="7"/>
  </w:num>
  <w:num w:numId="9" w16cid:durableId="883714298">
    <w:abstractNumId w:val="15"/>
  </w:num>
  <w:num w:numId="10" w16cid:durableId="117495826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8843592">
    <w:abstractNumId w:val="2"/>
  </w:num>
  <w:num w:numId="12" w16cid:durableId="1206602143">
    <w:abstractNumId w:val="10"/>
  </w:num>
  <w:num w:numId="13" w16cid:durableId="1441801739">
    <w:abstractNumId w:val="19"/>
  </w:num>
  <w:num w:numId="14" w16cid:durableId="621889520">
    <w:abstractNumId w:val="12"/>
  </w:num>
  <w:num w:numId="15" w16cid:durableId="1337073216">
    <w:abstractNumId w:val="4"/>
  </w:num>
  <w:num w:numId="16" w16cid:durableId="16842413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57250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706861">
    <w:abstractNumId w:val="16"/>
  </w:num>
  <w:num w:numId="19" w16cid:durableId="1350834688">
    <w:abstractNumId w:val="1"/>
  </w:num>
  <w:num w:numId="20" w16cid:durableId="139631434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1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9E1"/>
    <w:rsid w:val="00000758"/>
    <w:rsid w:val="0000125F"/>
    <w:rsid w:val="000017FB"/>
    <w:rsid w:val="00001D49"/>
    <w:rsid w:val="00002892"/>
    <w:rsid w:val="00002932"/>
    <w:rsid w:val="00002CF2"/>
    <w:rsid w:val="00003191"/>
    <w:rsid w:val="00003404"/>
    <w:rsid w:val="0000355E"/>
    <w:rsid w:val="00003809"/>
    <w:rsid w:val="0000380E"/>
    <w:rsid w:val="00003C2C"/>
    <w:rsid w:val="000044A2"/>
    <w:rsid w:val="000046BD"/>
    <w:rsid w:val="00004CFF"/>
    <w:rsid w:val="00004DCE"/>
    <w:rsid w:val="0000530B"/>
    <w:rsid w:val="000060C7"/>
    <w:rsid w:val="000060F9"/>
    <w:rsid w:val="000061EA"/>
    <w:rsid w:val="0000688F"/>
    <w:rsid w:val="00006DBA"/>
    <w:rsid w:val="00006E40"/>
    <w:rsid w:val="00006F36"/>
    <w:rsid w:val="00007DD3"/>
    <w:rsid w:val="000101F6"/>
    <w:rsid w:val="00010568"/>
    <w:rsid w:val="000105DF"/>
    <w:rsid w:val="000106C1"/>
    <w:rsid w:val="00010833"/>
    <w:rsid w:val="00010B65"/>
    <w:rsid w:val="00010F85"/>
    <w:rsid w:val="00011144"/>
    <w:rsid w:val="0001140D"/>
    <w:rsid w:val="000114A0"/>
    <w:rsid w:val="00011611"/>
    <w:rsid w:val="000119AF"/>
    <w:rsid w:val="00011FB5"/>
    <w:rsid w:val="00011FEE"/>
    <w:rsid w:val="0001241E"/>
    <w:rsid w:val="00012552"/>
    <w:rsid w:val="00012F54"/>
    <w:rsid w:val="00013559"/>
    <w:rsid w:val="000140E0"/>
    <w:rsid w:val="000141A6"/>
    <w:rsid w:val="00014A5F"/>
    <w:rsid w:val="00014E07"/>
    <w:rsid w:val="00015771"/>
    <w:rsid w:val="000158AC"/>
    <w:rsid w:val="00016097"/>
    <w:rsid w:val="0001610C"/>
    <w:rsid w:val="00016145"/>
    <w:rsid w:val="00016348"/>
    <w:rsid w:val="0001653A"/>
    <w:rsid w:val="000169F3"/>
    <w:rsid w:val="00017089"/>
    <w:rsid w:val="000174D2"/>
    <w:rsid w:val="0001757E"/>
    <w:rsid w:val="00017880"/>
    <w:rsid w:val="000211D9"/>
    <w:rsid w:val="00022385"/>
    <w:rsid w:val="0002255D"/>
    <w:rsid w:val="000227B9"/>
    <w:rsid w:val="00022A9B"/>
    <w:rsid w:val="00022EAA"/>
    <w:rsid w:val="00023063"/>
    <w:rsid w:val="00023A2F"/>
    <w:rsid w:val="00023C7D"/>
    <w:rsid w:val="000240B1"/>
    <w:rsid w:val="00024843"/>
    <w:rsid w:val="0002555D"/>
    <w:rsid w:val="00025CB8"/>
    <w:rsid w:val="00026065"/>
    <w:rsid w:val="00026194"/>
    <w:rsid w:val="0002625E"/>
    <w:rsid w:val="00026284"/>
    <w:rsid w:val="000264B0"/>
    <w:rsid w:val="00026878"/>
    <w:rsid w:val="00026A34"/>
    <w:rsid w:val="00026E7D"/>
    <w:rsid w:val="000273AA"/>
    <w:rsid w:val="00027849"/>
    <w:rsid w:val="000305AD"/>
    <w:rsid w:val="00030B20"/>
    <w:rsid w:val="00030EDB"/>
    <w:rsid w:val="00031513"/>
    <w:rsid w:val="00031FFF"/>
    <w:rsid w:val="00032006"/>
    <w:rsid w:val="0003235C"/>
    <w:rsid w:val="000325A9"/>
    <w:rsid w:val="00032BB5"/>
    <w:rsid w:val="00032C7D"/>
    <w:rsid w:val="00032F33"/>
    <w:rsid w:val="00033086"/>
    <w:rsid w:val="00033716"/>
    <w:rsid w:val="000342EB"/>
    <w:rsid w:val="000343FF"/>
    <w:rsid w:val="00035669"/>
    <w:rsid w:val="00035873"/>
    <w:rsid w:val="000365F3"/>
    <w:rsid w:val="00036B5C"/>
    <w:rsid w:val="00037281"/>
    <w:rsid w:val="00037433"/>
    <w:rsid w:val="000376BC"/>
    <w:rsid w:val="000376D3"/>
    <w:rsid w:val="00037C16"/>
    <w:rsid w:val="00037F5D"/>
    <w:rsid w:val="00040579"/>
    <w:rsid w:val="00040634"/>
    <w:rsid w:val="00040B29"/>
    <w:rsid w:val="000410F3"/>
    <w:rsid w:val="00041A08"/>
    <w:rsid w:val="000423F7"/>
    <w:rsid w:val="00042621"/>
    <w:rsid w:val="000426DD"/>
    <w:rsid w:val="00042806"/>
    <w:rsid w:val="00042AAA"/>
    <w:rsid w:val="00043080"/>
    <w:rsid w:val="000437B1"/>
    <w:rsid w:val="00043E59"/>
    <w:rsid w:val="00044561"/>
    <w:rsid w:val="000449A8"/>
    <w:rsid w:val="00044D85"/>
    <w:rsid w:val="00045C14"/>
    <w:rsid w:val="00045C2D"/>
    <w:rsid w:val="00045CE2"/>
    <w:rsid w:val="0004635E"/>
    <w:rsid w:val="0004675B"/>
    <w:rsid w:val="00046A51"/>
    <w:rsid w:val="00046B43"/>
    <w:rsid w:val="00047166"/>
    <w:rsid w:val="00047567"/>
    <w:rsid w:val="00047BAA"/>
    <w:rsid w:val="00047C50"/>
    <w:rsid w:val="00047C84"/>
    <w:rsid w:val="00047E68"/>
    <w:rsid w:val="00050040"/>
    <w:rsid w:val="0005049B"/>
    <w:rsid w:val="000508F1"/>
    <w:rsid w:val="00050D9E"/>
    <w:rsid w:val="00050DCD"/>
    <w:rsid w:val="000511F3"/>
    <w:rsid w:val="000512FA"/>
    <w:rsid w:val="0005171A"/>
    <w:rsid w:val="00052D6F"/>
    <w:rsid w:val="00052F34"/>
    <w:rsid w:val="000539BD"/>
    <w:rsid w:val="00053C76"/>
    <w:rsid w:val="00054874"/>
    <w:rsid w:val="000552A0"/>
    <w:rsid w:val="000555A9"/>
    <w:rsid w:val="000559FC"/>
    <w:rsid w:val="00055EEC"/>
    <w:rsid w:val="00056434"/>
    <w:rsid w:val="00056475"/>
    <w:rsid w:val="00056E2A"/>
    <w:rsid w:val="00056E85"/>
    <w:rsid w:val="00057618"/>
    <w:rsid w:val="00057E65"/>
    <w:rsid w:val="00060C63"/>
    <w:rsid w:val="00060D59"/>
    <w:rsid w:val="00061130"/>
    <w:rsid w:val="00061B89"/>
    <w:rsid w:val="00061C7E"/>
    <w:rsid w:val="00061FEB"/>
    <w:rsid w:val="000629A5"/>
    <w:rsid w:val="00062ABA"/>
    <w:rsid w:val="00062B58"/>
    <w:rsid w:val="00062D5E"/>
    <w:rsid w:val="0006353E"/>
    <w:rsid w:val="000639BB"/>
    <w:rsid w:val="00063C47"/>
    <w:rsid w:val="00063C96"/>
    <w:rsid w:val="00063E71"/>
    <w:rsid w:val="000642EC"/>
    <w:rsid w:val="00064765"/>
    <w:rsid w:val="00064804"/>
    <w:rsid w:val="00064AC2"/>
    <w:rsid w:val="00064D3C"/>
    <w:rsid w:val="00064ED2"/>
    <w:rsid w:val="00064FB9"/>
    <w:rsid w:val="000650F0"/>
    <w:rsid w:val="0006522B"/>
    <w:rsid w:val="00065369"/>
    <w:rsid w:val="000655A6"/>
    <w:rsid w:val="00065638"/>
    <w:rsid w:val="000658E7"/>
    <w:rsid w:val="00065DCB"/>
    <w:rsid w:val="00065FB4"/>
    <w:rsid w:val="000662AF"/>
    <w:rsid w:val="00066556"/>
    <w:rsid w:val="000668A0"/>
    <w:rsid w:val="00066A26"/>
    <w:rsid w:val="00066AD6"/>
    <w:rsid w:val="00066DBB"/>
    <w:rsid w:val="00066DE3"/>
    <w:rsid w:val="0006719F"/>
    <w:rsid w:val="00067292"/>
    <w:rsid w:val="0006769A"/>
    <w:rsid w:val="00067A71"/>
    <w:rsid w:val="00067C09"/>
    <w:rsid w:val="000703EF"/>
    <w:rsid w:val="000705E9"/>
    <w:rsid w:val="000707BA"/>
    <w:rsid w:val="000711AF"/>
    <w:rsid w:val="000713D1"/>
    <w:rsid w:val="0007154A"/>
    <w:rsid w:val="00071C53"/>
    <w:rsid w:val="0007249A"/>
    <w:rsid w:val="0007332B"/>
    <w:rsid w:val="0007370C"/>
    <w:rsid w:val="000737E6"/>
    <w:rsid w:val="00073B0D"/>
    <w:rsid w:val="00073FA3"/>
    <w:rsid w:val="000750DA"/>
    <w:rsid w:val="000758C0"/>
    <w:rsid w:val="00075C68"/>
    <w:rsid w:val="00075E14"/>
    <w:rsid w:val="00076414"/>
    <w:rsid w:val="0007641A"/>
    <w:rsid w:val="0007745D"/>
    <w:rsid w:val="00077AD6"/>
    <w:rsid w:val="00077C58"/>
    <w:rsid w:val="0008091A"/>
    <w:rsid w:val="00080DAF"/>
    <w:rsid w:val="00081045"/>
    <w:rsid w:val="00081339"/>
    <w:rsid w:val="00081F54"/>
    <w:rsid w:val="00082228"/>
    <w:rsid w:val="000827CC"/>
    <w:rsid w:val="000827F2"/>
    <w:rsid w:val="00082837"/>
    <w:rsid w:val="000835E2"/>
    <w:rsid w:val="00083B42"/>
    <w:rsid w:val="000844D5"/>
    <w:rsid w:val="000846F3"/>
    <w:rsid w:val="00084700"/>
    <w:rsid w:val="00084CA8"/>
    <w:rsid w:val="00084D34"/>
    <w:rsid w:val="00084F4E"/>
    <w:rsid w:val="000858A3"/>
    <w:rsid w:val="00085C65"/>
    <w:rsid w:val="00085C88"/>
    <w:rsid w:val="000864BC"/>
    <w:rsid w:val="000864EC"/>
    <w:rsid w:val="000867F0"/>
    <w:rsid w:val="00086E9A"/>
    <w:rsid w:val="0008709A"/>
    <w:rsid w:val="00087C4D"/>
    <w:rsid w:val="00087D4D"/>
    <w:rsid w:val="0009034F"/>
    <w:rsid w:val="000906C6"/>
    <w:rsid w:val="0009092B"/>
    <w:rsid w:val="00090C6B"/>
    <w:rsid w:val="00090F8C"/>
    <w:rsid w:val="00091FA9"/>
    <w:rsid w:val="0009211E"/>
    <w:rsid w:val="000926AD"/>
    <w:rsid w:val="0009294C"/>
    <w:rsid w:val="00092D10"/>
    <w:rsid w:val="00092D45"/>
    <w:rsid w:val="00092F81"/>
    <w:rsid w:val="000933BA"/>
    <w:rsid w:val="00093486"/>
    <w:rsid w:val="00093691"/>
    <w:rsid w:val="00093A73"/>
    <w:rsid w:val="00093C7D"/>
    <w:rsid w:val="0009415A"/>
    <w:rsid w:val="000941B1"/>
    <w:rsid w:val="00094455"/>
    <w:rsid w:val="00094515"/>
    <w:rsid w:val="000946AD"/>
    <w:rsid w:val="000947A1"/>
    <w:rsid w:val="0009588F"/>
    <w:rsid w:val="000958AB"/>
    <w:rsid w:val="00097234"/>
    <w:rsid w:val="00097579"/>
    <w:rsid w:val="00097914"/>
    <w:rsid w:val="000A03E4"/>
    <w:rsid w:val="000A045F"/>
    <w:rsid w:val="000A067B"/>
    <w:rsid w:val="000A06FB"/>
    <w:rsid w:val="000A0C04"/>
    <w:rsid w:val="000A0DE6"/>
    <w:rsid w:val="000A0EF1"/>
    <w:rsid w:val="000A1BC0"/>
    <w:rsid w:val="000A1BDC"/>
    <w:rsid w:val="000A1D87"/>
    <w:rsid w:val="000A2418"/>
    <w:rsid w:val="000A29E5"/>
    <w:rsid w:val="000A2A39"/>
    <w:rsid w:val="000A2CC9"/>
    <w:rsid w:val="000A312C"/>
    <w:rsid w:val="000A31FC"/>
    <w:rsid w:val="000A32C3"/>
    <w:rsid w:val="000A35B7"/>
    <w:rsid w:val="000A39BA"/>
    <w:rsid w:val="000A3DEC"/>
    <w:rsid w:val="000A3E34"/>
    <w:rsid w:val="000A41AA"/>
    <w:rsid w:val="000A4570"/>
    <w:rsid w:val="000A4703"/>
    <w:rsid w:val="000A49BA"/>
    <w:rsid w:val="000A4B40"/>
    <w:rsid w:val="000A523F"/>
    <w:rsid w:val="000A534D"/>
    <w:rsid w:val="000A552E"/>
    <w:rsid w:val="000A5709"/>
    <w:rsid w:val="000A5733"/>
    <w:rsid w:val="000A5A24"/>
    <w:rsid w:val="000A60D3"/>
    <w:rsid w:val="000A625A"/>
    <w:rsid w:val="000A63B7"/>
    <w:rsid w:val="000A6699"/>
    <w:rsid w:val="000A66D7"/>
    <w:rsid w:val="000A6927"/>
    <w:rsid w:val="000A7224"/>
    <w:rsid w:val="000A76BC"/>
    <w:rsid w:val="000A7E4B"/>
    <w:rsid w:val="000B061D"/>
    <w:rsid w:val="000B07FD"/>
    <w:rsid w:val="000B16E7"/>
    <w:rsid w:val="000B1A4E"/>
    <w:rsid w:val="000B1D58"/>
    <w:rsid w:val="000B2223"/>
    <w:rsid w:val="000B2804"/>
    <w:rsid w:val="000B2A4A"/>
    <w:rsid w:val="000B2A68"/>
    <w:rsid w:val="000B341A"/>
    <w:rsid w:val="000B3C40"/>
    <w:rsid w:val="000B484E"/>
    <w:rsid w:val="000B4AB2"/>
    <w:rsid w:val="000B4C83"/>
    <w:rsid w:val="000B4D8B"/>
    <w:rsid w:val="000B50FA"/>
    <w:rsid w:val="000B51A3"/>
    <w:rsid w:val="000B526A"/>
    <w:rsid w:val="000B58A5"/>
    <w:rsid w:val="000B60AC"/>
    <w:rsid w:val="000B653D"/>
    <w:rsid w:val="000B67A8"/>
    <w:rsid w:val="000B6D0E"/>
    <w:rsid w:val="000B76B1"/>
    <w:rsid w:val="000B76C1"/>
    <w:rsid w:val="000B7976"/>
    <w:rsid w:val="000B7B1B"/>
    <w:rsid w:val="000B7B9A"/>
    <w:rsid w:val="000B7E26"/>
    <w:rsid w:val="000C024C"/>
    <w:rsid w:val="000C0291"/>
    <w:rsid w:val="000C06D5"/>
    <w:rsid w:val="000C0C18"/>
    <w:rsid w:val="000C0ECF"/>
    <w:rsid w:val="000C11F5"/>
    <w:rsid w:val="000C149D"/>
    <w:rsid w:val="000C1768"/>
    <w:rsid w:val="000C1FB9"/>
    <w:rsid w:val="000C21F4"/>
    <w:rsid w:val="000C25A7"/>
    <w:rsid w:val="000C3791"/>
    <w:rsid w:val="000C497C"/>
    <w:rsid w:val="000C4C19"/>
    <w:rsid w:val="000C5407"/>
    <w:rsid w:val="000C60B4"/>
    <w:rsid w:val="000C64A9"/>
    <w:rsid w:val="000C670F"/>
    <w:rsid w:val="000C6B10"/>
    <w:rsid w:val="000C6B2D"/>
    <w:rsid w:val="000C6DA8"/>
    <w:rsid w:val="000C73EB"/>
    <w:rsid w:val="000C74F2"/>
    <w:rsid w:val="000C7717"/>
    <w:rsid w:val="000C77DF"/>
    <w:rsid w:val="000C7A14"/>
    <w:rsid w:val="000C7AB7"/>
    <w:rsid w:val="000C7ADF"/>
    <w:rsid w:val="000C7BD6"/>
    <w:rsid w:val="000C7CAC"/>
    <w:rsid w:val="000D03B5"/>
    <w:rsid w:val="000D056D"/>
    <w:rsid w:val="000D05DC"/>
    <w:rsid w:val="000D0642"/>
    <w:rsid w:val="000D0691"/>
    <w:rsid w:val="000D0B6B"/>
    <w:rsid w:val="000D0DB5"/>
    <w:rsid w:val="000D1058"/>
    <w:rsid w:val="000D12ED"/>
    <w:rsid w:val="000D1A5C"/>
    <w:rsid w:val="000D1BF6"/>
    <w:rsid w:val="000D2256"/>
    <w:rsid w:val="000D2B01"/>
    <w:rsid w:val="000D2E1A"/>
    <w:rsid w:val="000D30F1"/>
    <w:rsid w:val="000D3470"/>
    <w:rsid w:val="000D357F"/>
    <w:rsid w:val="000D3669"/>
    <w:rsid w:val="000D36A5"/>
    <w:rsid w:val="000D397A"/>
    <w:rsid w:val="000D3DBB"/>
    <w:rsid w:val="000D43FA"/>
    <w:rsid w:val="000D46B9"/>
    <w:rsid w:val="000D4929"/>
    <w:rsid w:val="000D53BF"/>
    <w:rsid w:val="000D5687"/>
    <w:rsid w:val="000D5B2F"/>
    <w:rsid w:val="000D650D"/>
    <w:rsid w:val="000D677E"/>
    <w:rsid w:val="000D68F5"/>
    <w:rsid w:val="000D6C30"/>
    <w:rsid w:val="000D73C7"/>
    <w:rsid w:val="000D76EB"/>
    <w:rsid w:val="000D79DA"/>
    <w:rsid w:val="000E025D"/>
    <w:rsid w:val="000E090D"/>
    <w:rsid w:val="000E092B"/>
    <w:rsid w:val="000E0A46"/>
    <w:rsid w:val="000E0B2D"/>
    <w:rsid w:val="000E109C"/>
    <w:rsid w:val="000E1501"/>
    <w:rsid w:val="000E1989"/>
    <w:rsid w:val="000E19EF"/>
    <w:rsid w:val="000E1ED5"/>
    <w:rsid w:val="000E25BF"/>
    <w:rsid w:val="000E275D"/>
    <w:rsid w:val="000E287E"/>
    <w:rsid w:val="000E2BF9"/>
    <w:rsid w:val="000E2EC2"/>
    <w:rsid w:val="000E3756"/>
    <w:rsid w:val="000E38CF"/>
    <w:rsid w:val="000E3FE6"/>
    <w:rsid w:val="000E4141"/>
    <w:rsid w:val="000E423E"/>
    <w:rsid w:val="000E4351"/>
    <w:rsid w:val="000E472F"/>
    <w:rsid w:val="000E47A6"/>
    <w:rsid w:val="000E4E86"/>
    <w:rsid w:val="000E5290"/>
    <w:rsid w:val="000E52F9"/>
    <w:rsid w:val="000E59A4"/>
    <w:rsid w:val="000E5AF2"/>
    <w:rsid w:val="000E5EC6"/>
    <w:rsid w:val="000E6406"/>
    <w:rsid w:val="000E6803"/>
    <w:rsid w:val="000E69D4"/>
    <w:rsid w:val="000E6CCD"/>
    <w:rsid w:val="000E6EE5"/>
    <w:rsid w:val="000F0916"/>
    <w:rsid w:val="000F0A9E"/>
    <w:rsid w:val="000F12D3"/>
    <w:rsid w:val="000F1345"/>
    <w:rsid w:val="000F23F6"/>
    <w:rsid w:val="000F28E3"/>
    <w:rsid w:val="000F2DA6"/>
    <w:rsid w:val="000F2E8A"/>
    <w:rsid w:val="000F36FC"/>
    <w:rsid w:val="000F3EB9"/>
    <w:rsid w:val="000F42C0"/>
    <w:rsid w:val="000F49DC"/>
    <w:rsid w:val="000F5E17"/>
    <w:rsid w:val="000F614F"/>
    <w:rsid w:val="000F6485"/>
    <w:rsid w:val="000F685C"/>
    <w:rsid w:val="000F6A2C"/>
    <w:rsid w:val="000F7D13"/>
    <w:rsid w:val="000F7EC8"/>
    <w:rsid w:val="001002D5"/>
    <w:rsid w:val="001008EC"/>
    <w:rsid w:val="00101039"/>
    <w:rsid w:val="0010138D"/>
    <w:rsid w:val="00101668"/>
    <w:rsid w:val="00101909"/>
    <w:rsid w:val="00101AAB"/>
    <w:rsid w:val="0010222C"/>
    <w:rsid w:val="001024C9"/>
    <w:rsid w:val="0010280D"/>
    <w:rsid w:val="00102889"/>
    <w:rsid w:val="00104153"/>
    <w:rsid w:val="00104727"/>
    <w:rsid w:val="00104822"/>
    <w:rsid w:val="00104843"/>
    <w:rsid w:val="00105227"/>
    <w:rsid w:val="001052B9"/>
    <w:rsid w:val="0010649D"/>
    <w:rsid w:val="00106843"/>
    <w:rsid w:val="00106921"/>
    <w:rsid w:val="001069BF"/>
    <w:rsid w:val="001071CC"/>
    <w:rsid w:val="001074A1"/>
    <w:rsid w:val="0010775B"/>
    <w:rsid w:val="00107D67"/>
    <w:rsid w:val="00107FBE"/>
    <w:rsid w:val="001101FE"/>
    <w:rsid w:val="001111AA"/>
    <w:rsid w:val="00111700"/>
    <w:rsid w:val="00111CAF"/>
    <w:rsid w:val="00111D51"/>
    <w:rsid w:val="00111EC9"/>
    <w:rsid w:val="001128C3"/>
    <w:rsid w:val="001132D8"/>
    <w:rsid w:val="0011356B"/>
    <w:rsid w:val="001138F2"/>
    <w:rsid w:val="00113A24"/>
    <w:rsid w:val="00114726"/>
    <w:rsid w:val="00114D16"/>
    <w:rsid w:val="00114F76"/>
    <w:rsid w:val="001157DE"/>
    <w:rsid w:val="0011656C"/>
    <w:rsid w:val="001174D5"/>
    <w:rsid w:val="001205F4"/>
    <w:rsid w:val="00120C6E"/>
    <w:rsid w:val="00121735"/>
    <w:rsid w:val="0012175B"/>
    <w:rsid w:val="00121987"/>
    <w:rsid w:val="00121B17"/>
    <w:rsid w:val="0012286F"/>
    <w:rsid w:val="00122DDD"/>
    <w:rsid w:val="00123184"/>
    <w:rsid w:val="00123264"/>
    <w:rsid w:val="0012327B"/>
    <w:rsid w:val="001236DA"/>
    <w:rsid w:val="0012397F"/>
    <w:rsid w:val="00123A11"/>
    <w:rsid w:val="00123C48"/>
    <w:rsid w:val="001242D7"/>
    <w:rsid w:val="001248AD"/>
    <w:rsid w:val="00124E19"/>
    <w:rsid w:val="00124E8E"/>
    <w:rsid w:val="00125982"/>
    <w:rsid w:val="00126047"/>
    <w:rsid w:val="0012615B"/>
    <w:rsid w:val="00126CFB"/>
    <w:rsid w:val="00126D7F"/>
    <w:rsid w:val="0012712B"/>
    <w:rsid w:val="00127349"/>
    <w:rsid w:val="00127433"/>
    <w:rsid w:val="00127483"/>
    <w:rsid w:val="00127A15"/>
    <w:rsid w:val="00127DD3"/>
    <w:rsid w:val="001308D5"/>
    <w:rsid w:val="00130B89"/>
    <w:rsid w:val="00130B8C"/>
    <w:rsid w:val="00131138"/>
    <w:rsid w:val="0013197B"/>
    <w:rsid w:val="00131BA1"/>
    <w:rsid w:val="0013200C"/>
    <w:rsid w:val="0013205A"/>
    <w:rsid w:val="0013233E"/>
    <w:rsid w:val="00132616"/>
    <w:rsid w:val="00132957"/>
    <w:rsid w:val="00132BCB"/>
    <w:rsid w:val="00132C0D"/>
    <w:rsid w:val="0013322A"/>
    <w:rsid w:val="00134136"/>
    <w:rsid w:val="0013430C"/>
    <w:rsid w:val="0013459D"/>
    <w:rsid w:val="001348D7"/>
    <w:rsid w:val="00134932"/>
    <w:rsid w:val="00134B7F"/>
    <w:rsid w:val="00134EA7"/>
    <w:rsid w:val="00135141"/>
    <w:rsid w:val="001359FF"/>
    <w:rsid w:val="00135A39"/>
    <w:rsid w:val="00135FC4"/>
    <w:rsid w:val="001363C8"/>
    <w:rsid w:val="0013641A"/>
    <w:rsid w:val="00136458"/>
    <w:rsid w:val="00136565"/>
    <w:rsid w:val="001374DF"/>
    <w:rsid w:val="001378A0"/>
    <w:rsid w:val="00137DF7"/>
    <w:rsid w:val="00137E9B"/>
    <w:rsid w:val="00140008"/>
    <w:rsid w:val="00140116"/>
    <w:rsid w:val="0014047E"/>
    <w:rsid w:val="0014056B"/>
    <w:rsid w:val="001416A1"/>
    <w:rsid w:val="001417C5"/>
    <w:rsid w:val="00141F9F"/>
    <w:rsid w:val="00141FE7"/>
    <w:rsid w:val="001425E9"/>
    <w:rsid w:val="00142628"/>
    <w:rsid w:val="0014297C"/>
    <w:rsid w:val="00143326"/>
    <w:rsid w:val="00143537"/>
    <w:rsid w:val="001435AE"/>
    <w:rsid w:val="00143643"/>
    <w:rsid w:val="00143A07"/>
    <w:rsid w:val="00143B2C"/>
    <w:rsid w:val="00143BE0"/>
    <w:rsid w:val="00143EFD"/>
    <w:rsid w:val="00145678"/>
    <w:rsid w:val="00146146"/>
    <w:rsid w:val="001461E2"/>
    <w:rsid w:val="00146684"/>
    <w:rsid w:val="00146CF1"/>
    <w:rsid w:val="001470AD"/>
    <w:rsid w:val="00147110"/>
    <w:rsid w:val="001471F3"/>
    <w:rsid w:val="0014742D"/>
    <w:rsid w:val="0014794F"/>
    <w:rsid w:val="001479C2"/>
    <w:rsid w:val="00147B4A"/>
    <w:rsid w:val="00150838"/>
    <w:rsid w:val="00150AAB"/>
    <w:rsid w:val="00150CC3"/>
    <w:rsid w:val="001512C2"/>
    <w:rsid w:val="001513EB"/>
    <w:rsid w:val="00151AF3"/>
    <w:rsid w:val="00151D5A"/>
    <w:rsid w:val="001524A1"/>
    <w:rsid w:val="00152634"/>
    <w:rsid w:val="00152C68"/>
    <w:rsid w:val="00153026"/>
    <w:rsid w:val="001532D6"/>
    <w:rsid w:val="0015337A"/>
    <w:rsid w:val="0015337D"/>
    <w:rsid w:val="0015347C"/>
    <w:rsid w:val="00153629"/>
    <w:rsid w:val="00153911"/>
    <w:rsid w:val="00153BCA"/>
    <w:rsid w:val="0015427C"/>
    <w:rsid w:val="00154654"/>
    <w:rsid w:val="00154661"/>
    <w:rsid w:val="00154EFA"/>
    <w:rsid w:val="00154F49"/>
    <w:rsid w:val="0015537C"/>
    <w:rsid w:val="00155613"/>
    <w:rsid w:val="00155707"/>
    <w:rsid w:val="001562D9"/>
    <w:rsid w:val="00156460"/>
    <w:rsid w:val="00156570"/>
    <w:rsid w:val="0015681E"/>
    <w:rsid w:val="00156DE2"/>
    <w:rsid w:val="001571AA"/>
    <w:rsid w:val="0015723A"/>
    <w:rsid w:val="00157463"/>
    <w:rsid w:val="001575EC"/>
    <w:rsid w:val="00157A91"/>
    <w:rsid w:val="00157E5F"/>
    <w:rsid w:val="00157FF6"/>
    <w:rsid w:val="00160158"/>
    <w:rsid w:val="001603CA"/>
    <w:rsid w:val="00160D3A"/>
    <w:rsid w:val="001618D7"/>
    <w:rsid w:val="00161B39"/>
    <w:rsid w:val="00161CEA"/>
    <w:rsid w:val="00161D9C"/>
    <w:rsid w:val="00161E11"/>
    <w:rsid w:val="00162124"/>
    <w:rsid w:val="00162EF2"/>
    <w:rsid w:val="00163034"/>
    <w:rsid w:val="0016307A"/>
    <w:rsid w:val="00163CEC"/>
    <w:rsid w:val="00163E04"/>
    <w:rsid w:val="001643F2"/>
    <w:rsid w:val="00164769"/>
    <w:rsid w:val="001649CB"/>
    <w:rsid w:val="00164C7B"/>
    <w:rsid w:val="00164FF0"/>
    <w:rsid w:val="0016511E"/>
    <w:rsid w:val="0016564F"/>
    <w:rsid w:val="00165664"/>
    <w:rsid w:val="001657BF"/>
    <w:rsid w:val="00165FFA"/>
    <w:rsid w:val="00166411"/>
    <w:rsid w:val="00166C3A"/>
    <w:rsid w:val="001670E6"/>
    <w:rsid w:val="00167A79"/>
    <w:rsid w:val="001703F0"/>
    <w:rsid w:val="0017052E"/>
    <w:rsid w:val="00170729"/>
    <w:rsid w:val="001709AD"/>
    <w:rsid w:val="00170C9E"/>
    <w:rsid w:val="00170E42"/>
    <w:rsid w:val="0017107E"/>
    <w:rsid w:val="001711EA"/>
    <w:rsid w:val="00171A37"/>
    <w:rsid w:val="00171E3E"/>
    <w:rsid w:val="00172381"/>
    <w:rsid w:val="00172A3B"/>
    <w:rsid w:val="00173285"/>
    <w:rsid w:val="00173959"/>
    <w:rsid w:val="00173F98"/>
    <w:rsid w:val="001744D7"/>
    <w:rsid w:val="00174FD4"/>
    <w:rsid w:val="00175279"/>
    <w:rsid w:val="001757BD"/>
    <w:rsid w:val="00175E09"/>
    <w:rsid w:val="00176112"/>
    <w:rsid w:val="0017678D"/>
    <w:rsid w:val="00176BA1"/>
    <w:rsid w:val="00176DE4"/>
    <w:rsid w:val="00176FD0"/>
    <w:rsid w:val="00176FF6"/>
    <w:rsid w:val="00177017"/>
    <w:rsid w:val="0017726F"/>
    <w:rsid w:val="001772F7"/>
    <w:rsid w:val="00177543"/>
    <w:rsid w:val="0017756B"/>
    <w:rsid w:val="0017758A"/>
    <w:rsid w:val="00180177"/>
    <w:rsid w:val="00180FBD"/>
    <w:rsid w:val="0018176D"/>
    <w:rsid w:val="00181BFA"/>
    <w:rsid w:val="00181E94"/>
    <w:rsid w:val="0018219E"/>
    <w:rsid w:val="001823E6"/>
    <w:rsid w:val="00182D75"/>
    <w:rsid w:val="001832F2"/>
    <w:rsid w:val="00183AD4"/>
    <w:rsid w:val="00183E20"/>
    <w:rsid w:val="00183E31"/>
    <w:rsid w:val="001843D6"/>
    <w:rsid w:val="001845B3"/>
    <w:rsid w:val="001845C1"/>
    <w:rsid w:val="001852A0"/>
    <w:rsid w:val="001853B3"/>
    <w:rsid w:val="0018594F"/>
    <w:rsid w:val="00185E92"/>
    <w:rsid w:val="00186004"/>
    <w:rsid w:val="00186207"/>
    <w:rsid w:val="00186273"/>
    <w:rsid w:val="0018673B"/>
    <w:rsid w:val="00186A79"/>
    <w:rsid w:val="00186B80"/>
    <w:rsid w:val="00186EDE"/>
    <w:rsid w:val="001874A2"/>
    <w:rsid w:val="00187A54"/>
    <w:rsid w:val="00190556"/>
    <w:rsid w:val="0019084C"/>
    <w:rsid w:val="001909FA"/>
    <w:rsid w:val="00190A07"/>
    <w:rsid w:val="00190CE6"/>
    <w:rsid w:val="00191075"/>
    <w:rsid w:val="0019124B"/>
    <w:rsid w:val="0019176F"/>
    <w:rsid w:val="00192537"/>
    <w:rsid w:val="001925E0"/>
    <w:rsid w:val="0019274E"/>
    <w:rsid w:val="001928D0"/>
    <w:rsid w:val="001928FF"/>
    <w:rsid w:val="00192AB8"/>
    <w:rsid w:val="00192DA0"/>
    <w:rsid w:val="00192EC9"/>
    <w:rsid w:val="0019367F"/>
    <w:rsid w:val="0019412E"/>
    <w:rsid w:val="0019414A"/>
    <w:rsid w:val="00194163"/>
    <w:rsid w:val="00194275"/>
    <w:rsid w:val="0019442A"/>
    <w:rsid w:val="0019467E"/>
    <w:rsid w:val="001952B3"/>
    <w:rsid w:val="001958B2"/>
    <w:rsid w:val="00195EF7"/>
    <w:rsid w:val="0019617D"/>
    <w:rsid w:val="001970AF"/>
    <w:rsid w:val="0019731A"/>
    <w:rsid w:val="001976FA"/>
    <w:rsid w:val="001A002B"/>
    <w:rsid w:val="001A063C"/>
    <w:rsid w:val="001A0796"/>
    <w:rsid w:val="001A07D4"/>
    <w:rsid w:val="001A09A4"/>
    <w:rsid w:val="001A0B44"/>
    <w:rsid w:val="001A0BCD"/>
    <w:rsid w:val="001A0E93"/>
    <w:rsid w:val="001A1573"/>
    <w:rsid w:val="001A1865"/>
    <w:rsid w:val="001A1A28"/>
    <w:rsid w:val="001A1EC5"/>
    <w:rsid w:val="001A1EC7"/>
    <w:rsid w:val="001A22AC"/>
    <w:rsid w:val="001A262E"/>
    <w:rsid w:val="001A2BC4"/>
    <w:rsid w:val="001A2BCF"/>
    <w:rsid w:val="001A2E57"/>
    <w:rsid w:val="001A3B93"/>
    <w:rsid w:val="001A3BF4"/>
    <w:rsid w:val="001A3F35"/>
    <w:rsid w:val="001A3F68"/>
    <w:rsid w:val="001A4331"/>
    <w:rsid w:val="001A458D"/>
    <w:rsid w:val="001A465E"/>
    <w:rsid w:val="001A4686"/>
    <w:rsid w:val="001A485C"/>
    <w:rsid w:val="001A4ADB"/>
    <w:rsid w:val="001A505D"/>
    <w:rsid w:val="001A571F"/>
    <w:rsid w:val="001A5FF3"/>
    <w:rsid w:val="001A6214"/>
    <w:rsid w:val="001A626B"/>
    <w:rsid w:val="001A7517"/>
    <w:rsid w:val="001A7929"/>
    <w:rsid w:val="001A7A9A"/>
    <w:rsid w:val="001A7EC1"/>
    <w:rsid w:val="001A7FC8"/>
    <w:rsid w:val="001B0339"/>
    <w:rsid w:val="001B089B"/>
    <w:rsid w:val="001B0A04"/>
    <w:rsid w:val="001B0D41"/>
    <w:rsid w:val="001B0F69"/>
    <w:rsid w:val="001B13AE"/>
    <w:rsid w:val="001B19E8"/>
    <w:rsid w:val="001B21CE"/>
    <w:rsid w:val="001B3237"/>
    <w:rsid w:val="001B32E9"/>
    <w:rsid w:val="001B376B"/>
    <w:rsid w:val="001B3B40"/>
    <w:rsid w:val="001B3E76"/>
    <w:rsid w:val="001B4D52"/>
    <w:rsid w:val="001B5377"/>
    <w:rsid w:val="001B53C3"/>
    <w:rsid w:val="001B5458"/>
    <w:rsid w:val="001B5FE0"/>
    <w:rsid w:val="001B658D"/>
    <w:rsid w:val="001B7B49"/>
    <w:rsid w:val="001B7E01"/>
    <w:rsid w:val="001C00B7"/>
    <w:rsid w:val="001C0FDE"/>
    <w:rsid w:val="001C177F"/>
    <w:rsid w:val="001C1822"/>
    <w:rsid w:val="001C1C19"/>
    <w:rsid w:val="001C1F0C"/>
    <w:rsid w:val="001C1F9D"/>
    <w:rsid w:val="001C24EE"/>
    <w:rsid w:val="001C290F"/>
    <w:rsid w:val="001C2FF6"/>
    <w:rsid w:val="001C3231"/>
    <w:rsid w:val="001C35E9"/>
    <w:rsid w:val="001C36DE"/>
    <w:rsid w:val="001C36E5"/>
    <w:rsid w:val="001C3E74"/>
    <w:rsid w:val="001C46FF"/>
    <w:rsid w:val="001C4B92"/>
    <w:rsid w:val="001C5030"/>
    <w:rsid w:val="001C5749"/>
    <w:rsid w:val="001C6349"/>
    <w:rsid w:val="001C6608"/>
    <w:rsid w:val="001C68A9"/>
    <w:rsid w:val="001C6ED8"/>
    <w:rsid w:val="001C6F74"/>
    <w:rsid w:val="001C6FAD"/>
    <w:rsid w:val="001C7397"/>
    <w:rsid w:val="001D0161"/>
    <w:rsid w:val="001D12CE"/>
    <w:rsid w:val="001D1328"/>
    <w:rsid w:val="001D1370"/>
    <w:rsid w:val="001D1C77"/>
    <w:rsid w:val="001D1FA2"/>
    <w:rsid w:val="001D23CB"/>
    <w:rsid w:val="001D28D3"/>
    <w:rsid w:val="001D2C97"/>
    <w:rsid w:val="001D32FC"/>
    <w:rsid w:val="001D36C6"/>
    <w:rsid w:val="001D3716"/>
    <w:rsid w:val="001D380F"/>
    <w:rsid w:val="001D46F9"/>
    <w:rsid w:val="001D478F"/>
    <w:rsid w:val="001D4839"/>
    <w:rsid w:val="001D4F8A"/>
    <w:rsid w:val="001D51EB"/>
    <w:rsid w:val="001D55BD"/>
    <w:rsid w:val="001D574E"/>
    <w:rsid w:val="001D59F9"/>
    <w:rsid w:val="001D5BBC"/>
    <w:rsid w:val="001D5BDC"/>
    <w:rsid w:val="001D607A"/>
    <w:rsid w:val="001D6192"/>
    <w:rsid w:val="001D6414"/>
    <w:rsid w:val="001D6717"/>
    <w:rsid w:val="001D6844"/>
    <w:rsid w:val="001D6C90"/>
    <w:rsid w:val="001D718B"/>
    <w:rsid w:val="001D73FD"/>
    <w:rsid w:val="001D78B0"/>
    <w:rsid w:val="001D7B82"/>
    <w:rsid w:val="001E00F5"/>
    <w:rsid w:val="001E0247"/>
    <w:rsid w:val="001E1644"/>
    <w:rsid w:val="001E1783"/>
    <w:rsid w:val="001E1AC9"/>
    <w:rsid w:val="001E20C3"/>
    <w:rsid w:val="001E2A01"/>
    <w:rsid w:val="001E30D2"/>
    <w:rsid w:val="001E3161"/>
    <w:rsid w:val="001E3617"/>
    <w:rsid w:val="001E3654"/>
    <w:rsid w:val="001E39D4"/>
    <w:rsid w:val="001E417D"/>
    <w:rsid w:val="001E41DB"/>
    <w:rsid w:val="001E41F5"/>
    <w:rsid w:val="001E5119"/>
    <w:rsid w:val="001E5174"/>
    <w:rsid w:val="001E53E0"/>
    <w:rsid w:val="001E5D43"/>
    <w:rsid w:val="001E5E89"/>
    <w:rsid w:val="001E5EB7"/>
    <w:rsid w:val="001E7113"/>
    <w:rsid w:val="001E72C3"/>
    <w:rsid w:val="001E7386"/>
    <w:rsid w:val="001E7418"/>
    <w:rsid w:val="001E7ADC"/>
    <w:rsid w:val="001E7DBA"/>
    <w:rsid w:val="001E7F19"/>
    <w:rsid w:val="001F003A"/>
    <w:rsid w:val="001F03E6"/>
    <w:rsid w:val="001F03E8"/>
    <w:rsid w:val="001F193C"/>
    <w:rsid w:val="001F1A22"/>
    <w:rsid w:val="001F2358"/>
    <w:rsid w:val="001F2DFA"/>
    <w:rsid w:val="001F3060"/>
    <w:rsid w:val="001F3248"/>
    <w:rsid w:val="001F363C"/>
    <w:rsid w:val="001F3CA6"/>
    <w:rsid w:val="001F3E69"/>
    <w:rsid w:val="001F4B43"/>
    <w:rsid w:val="001F4E4E"/>
    <w:rsid w:val="001F524B"/>
    <w:rsid w:val="001F54E5"/>
    <w:rsid w:val="001F59E0"/>
    <w:rsid w:val="001F5B50"/>
    <w:rsid w:val="001F5C7D"/>
    <w:rsid w:val="001F64AF"/>
    <w:rsid w:val="001F6B7A"/>
    <w:rsid w:val="001F6EF3"/>
    <w:rsid w:val="001F7148"/>
    <w:rsid w:val="001F719B"/>
    <w:rsid w:val="001F71EF"/>
    <w:rsid w:val="001F74AF"/>
    <w:rsid w:val="001F74F9"/>
    <w:rsid w:val="001F78CB"/>
    <w:rsid w:val="001F7EB6"/>
    <w:rsid w:val="001F7FE1"/>
    <w:rsid w:val="00200001"/>
    <w:rsid w:val="002005BF"/>
    <w:rsid w:val="0020092C"/>
    <w:rsid w:val="00200A28"/>
    <w:rsid w:val="00200E4A"/>
    <w:rsid w:val="002010E4"/>
    <w:rsid w:val="00201100"/>
    <w:rsid w:val="0020118B"/>
    <w:rsid w:val="0020185C"/>
    <w:rsid w:val="002019AB"/>
    <w:rsid w:val="00203390"/>
    <w:rsid w:val="0020375D"/>
    <w:rsid w:val="002038EF"/>
    <w:rsid w:val="00203B48"/>
    <w:rsid w:val="00203B5A"/>
    <w:rsid w:val="00203B8A"/>
    <w:rsid w:val="00203CED"/>
    <w:rsid w:val="00204A3F"/>
    <w:rsid w:val="00204D19"/>
    <w:rsid w:val="00204E3B"/>
    <w:rsid w:val="00204E97"/>
    <w:rsid w:val="00205150"/>
    <w:rsid w:val="0020530C"/>
    <w:rsid w:val="00205390"/>
    <w:rsid w:val="0020539E"/>
    <w:rsid w:val="0020551C"/>
    <w:rsid w:val="0020552C"/>
    <w:rsid w:val="00205869"/>
    <w:rsid w:val="002067F7"/>
    <w:rsid w:val="00206C46"/>
    <w:rsid w:val="00206E84"/>
    <w:rsid w:val="00206ED4"/>
    <w:rsid w:val="002070D8"/>
    <w:rsid w:val="002075A3"/>
    <w:rsid w:val="002075C4"/>
    <w:rsid w:val="00207D7F"/>
    <w:rsid w:val="00210554"/>
    <w:rsid w:val="002108FB"/>
    <w:rsid w:val="0021121B"/>
    <w:rsid w:val="0021214F"/>
    <w:rsid w:val="002128A0"/>
    <w:rsid w:val="002131FD"/>
    <w:rsid w:val="00213447"/>
    <w:rsid w:val="0021346B"/>
    <w:rsid w:val="002136EB"/>
    <w:rsid w:val="002138D7"/>
    <w:rsid w:val="00213A80"/>
    <w:rsid w:val="00213DF6"/>
    <w:rsid w:val="002143BB"/>
    <w:rsid w:val="00214E3E"/>
    <w:rsid w:val="00215087"/>
    <w:rsid w:val="002153E0"/>
    <w:rsid w:val="002158F1"/>
    <w:rsid w:val="002166DF"/>
    <w:rsid w:val="0021704C"/>
    <w:rsid w:val="0021718B"/>
    <w:rsid w:val="00217212"/>
    <w:rsid w:val="00217644"/>
    <w:rsid w:val="00217BE7"/>
    <w:rsid w:val="0022013A"/>
    <w:rsid w:val="00220628"/>
    <w:rsid w:val="0022069B"/>
    <w:rsid w:val="00220990"/>
    <w:rsid w:val="00220EB8"/>
    <w:rsid w:val="002213F4"/>
    <w:rsid w:val="002214BA"/>
    <w:rsid w:val="00221803"/>
    <w:rsid w:val="00221EBE"/>
    <w:rsid w:val="00222655"/>
    <w:rsid w:val="0022274D"/>
    <w:rsid w:val="00222980"/>
    <w:rsid w:val="002231ED"/>
    <w:rsid w:val="0022349A"/>
    <w:rsid w:val="00223C1A"/>
    <w:rsid w:val="00223F65"/>
    <w:rsid w:val="002252F7"/>
    <w:rsid w:val="002255E8"/>
    <w:rsid w:val="0022572E"/>
    <w:rsid w:val="0022593A"/>
    <w:rsid w:val="00225DEC"/>
    <w:rsid w:val="0022631B"/>
    <w:rsid w:val="0022645A"/>
    <w:rsid w:val="0022668A"/>
    <w:rsid w:val="00226862"/>
    <w:rsid w:val="00226D33"/>
    <w:rsid w:val="00226EC1"/>
    <w:rsid w:val="00226FD7"/>
    <w:rsid w:val="00227118"/>
    <w:rsid w:val="002271DA"/>
    <w:rsid w:val="0022769A"/>
    <w:rsid w:val="00230480"/>
    <w:rsid w:val="00230AFE"/>
    <w:rsid w:val="00230B5A"/>
    <w:rsid w:val="00230E11"/>
    <w:rsid w:val="002311D8"/>
    <w:rsid w:val="00231214"/>
    <w:rsid w:val="002312B9"/>
    <w:rsid w:val="002316BB"/>
    <w:rsid w:val="00231E64"/>
    <w:rsid w:val="002320DA"/>
    <w:rsid w:val="0023250E"/>
    <w:rsid w:val="002326B2"/>
    <w:rsid w:val="002327B4"/>
    <w:rsid w:val="002328B3"/>
    <w:rsid w:val="002328F2"/>
    <w:rsid w:val="00232D58"/>
    <w:rsid w:val="00233234"/>
    <w:rsid w:val="00233C60"/>
    <w:rsid w:val="00233EBF"/>
    <w:rsid w:val="00233EF6"/>
    <w:rsid w:val="0023491F"/>
    <w:rsid w:val="00234B91"/>
    <w:rsid w:val="002356AD"/>
    <w:rsid w:val="00235D46"/>
    <w:rsid w:val="00236552"/>
    <w:rsid w:val="0023662A"/>
    <w:rsid w:val="00236960"/>
    <w:rsid w:val="00236C22"/>
    <w:rsid w:val="00236D0B"/>
    <w:rsid w:val="00236E72"/>
    <w:rsid w:val="0023767B"/>
    <w:rsid w:val="0023778A"/>
    <w:rsid w:val="00237E4F"/>
    <w:rsid w:val="00237ED9"/>
    <w:rsid w:val="002405C9"/>
    <w:rsid w:val="00240701"/>
    <w:rsid w:val="00240966"/>
    <w:rsid w:val="002411DE"/>
    <w:rsid w:val="0024167E"/>
    <w:rsid w:val="002416FD"/>
    <w:rsid w:val="00241913"/>
    <w:rsid w:val="002436E1"/>
    <w:rsid w:val="00243E8B"/>
    <w:rsid w:val="00244012"/>
    <w:rsid w:val="00244437"/>
    <w:rsid w:val="002449E0"/>
    <w:rsid w:val="0024525F"/>
    <w:rsid w:val="002453BE"/>
    <w:rsid w:val="00245453"/>
    <w:rsid w:val="0024549C"/>
    <w:rsid w:val="002456E0"/>
    <w:rsid w:val="00246191"/>
    <w:rsid w:val="00246788"/>
    <w:rsid w:val="00246A8D"/>
    <w:rsid w:val="00246AD1"/>
    <w:rsid w:val="0024702B"/>
    <w:rsid w:val="002475F7"/>
    <w:rsid w:val="0024776A"/>
    <w:rsid w:val="00250DC0"/>
    <w:rsid w:val="00250E62"/>
    <w:rsid w:val="002517D5"/>
    <w:rsid w:val="00251821"/>
    <w:rsid w:val="00251A50"/>
    <w:rsid w:val="00251A6E"/>
    <w:rsid w:val="00251AB7"/>
    <w:rsid w:val="0025271B"/>
    <w:rsid w:val="00252AA2"/>
    <w:rsid w:val="00252C4C"/>
    <w:rsid w:val="00252DD4"/>
    <w:rsid w:val="00252EE6"/>
    <w:rsid w:val="00253566"/>
    <w:rsid w:val="00254DD4"/>
    <w:rsid w:val="00254E20"/>
    <w:rsid w:val="00255E79"/>
    <w:rsid w:val="00256087"/>
    <w:rsid w:val="00256179"/>
    <w:rsid w:val="00256465"/>
    <w:rsid w:val="002565C0"/>
    <w:rsid w:val="0025695D"/>
    <w:rsid w:val="00256EAA"/>
    <w:rsid w:val="0025724F"/>
    <w:rsid w:val="00257494"/>
    <w:rsid w:val="00257FE7"/>
    <w:rsid w:val="00257FFA"/>
    <w:rsid w:val="002600DD"/>
    <w:rsid w:val="002600E5"/>
    <w:rsid w:val="002606F4"/>
    <w:rsid w:val="00260873"/>
    <w:rsid w:val="00260BD1"/>
    <w:rsid w:val="00260E38"/>
    <w:rsid w:val="002610F6"/>
    <w:rsid w:val="00261406"/>
    <w:rsid w:val="0026213B"/>
    <w:rsid w:val="0026243F"/>
    <w:rsid w:val="00262E01"/>
    <w:rsid w:val="00262F8C"/>
    <w:rsid w:val="00263275"/>
    <w:rsid w:val="002638EE"/>
    <w:rsid w:val="00263DDC"/>
    <w:rsid w:val="002649EF"/>
    <w:rsid w:val="00264AB9"/>
    <w:rsid w:val="00264B80"/>
    <w:rsid w:val="0026532D"/>
    <w:rsid w:val="00265C50"/>
    <w:rsid w:val="0026620C"/>
    <w:rsid w:val="00266D2E"/>
    <w:rsid w:val="0026708B"/>
    <w:rsid w:val="002672BC"/>
    <w:rsid w:val="00267393"/>
    <w:rsid w:val="00267656"/>
    <w:rsid w:val="00267757"/>
    <w:rsid w:val="00267D8E"/>
    <w:rsid w:val="00267E6E"/>
    <w:rsid w:val="00270577"/>
    <w:rsid w:val="00270AA0"/>
    <w:rsid w:val="00270CE6"/>
    <w:rsid w:val="00270D5C"/>
    <w:rsid w:val="00271299"/>
    <w:rsid w:val="0027196F"/>
    <w:rsid w:val="00271C85"/>
    <w:rsid w:val="00272E0D"/>
    <w:rsid w:val="0027320A"/>
    <w:rsid w:val="00273225"/>
    <w:rsid w:val="0027324D"/>
    <w:rsid w:val="002734E3"/>
    <w:rsid w:val="00273A87"/>
    <w:rsid w:val="00274304"/>
    <w:rsid w:val="00274523"/>
    <w:rsid w:val="00274635"/>
    <w:rsid w:val="00274713"/>
    <w:rsid w:val="00274900"/>
    <w:rsid w:val="00275040"/>
    <w:rsid w:val="00275065"/>
    <w:rsid w:val="0027518A"/>
    <w:rsid w:val="0027545E"/>
    <w:rsid w:val="0027564E"/>
    <w:rsid w:val="002757DA"/>
    <w:rsid w:val="002766EA"/>
    <w:rsid w:val="00276CA1"/>
    <w:rsid w:val="00276CBA"/>
    <w:rsid w:val="00276D96"/>
    <w:rsid w:val="00276F54"/>
    <w:rsid w:val="002772AD"/>
    <w:rsid w:val="002772B9"/>
    <w:rsid w:val="0027731D"/>
    <w:rsid w:val="002773AF"/>
    <w:rsid w:val="00277553"/>
    <w:rsid w:val="00277E0D"/>
    <w:rsid w:val="00280302"/>
    <w:rsid w:val="002806A7"/>
    <w:rsid w:val="00280D21"/>
    <w:rsid w:val="00280ECC"/>
    <w:rsid w:val="0028147E"/>
    <w:rsid w:val="00281A10"/>
    <w:rsid w:val="00281A39"/>
    <w:rsid w:val="00281B3E"/>
    <w:rsid w:val="00281C36"/>
    <w:rsid w:val="002822BB"/>
    <w:rsid w:val="00282368"/>
    <w:rsid w:val="002823B1"/>
    <w:rsid w:val="002824E0"/>
    <w:rsid w:val="00283E5C"/>
    <w:rsid w:val="0028444A"/>
    <w:rsid w:val="002847B2"/>
    <w:rsid w:val="0028487F"/>
    <w:rsid w:val="0028523E"/>
    <w:rsid w:val="00285454"/>
    <w:rsid w:val="00285AB7"/>
    <w:rsid w:val="002860AC"/>
    <w:rsid w:val="0028684D"/>
    <w:rsid w:val="002874B5"/>
    <w:rsid w:val="002876DB"/>
    <w:rsid w:val="002877FD"/>
    <w:rsid w:val="00290871"/>
    <w:rsid w:val="00290909"/>
    <w:rsid w:val="00290FA0"/>
    <w:rsid w:val="00291999"/>
    <w:rsid w:val="002919C8"/>
    <w:rsid w:val="00291A4A"/>
    <w:rsid w:val="00292401"/>
    <w:rsid w:val="00292429"/>
    <w:rsid w:val="002928D4"/>
    <w:rsid w:val="002928DA"/>
    <w:rsid w:val="00292B39"/>
    <w:rsid w:val="00292B83"/>
    <w:rsid w:val="00293033"/>
    <w:rsid w:val="00293052"/>
    <w:rsid w:val="002938FF"/>
    <w:rsid w:val="0029392F"/>
    <w:rsid w:val="00293A6A"/>
    <w:rsid w:val="00293CBD"/>
    <w:rsid w:val="00293D99"/>
    <w:rsid w:val="00293E0D"/>
    <w:rsid w:val="00293E40"/>
    <w:rsid w:val="00294858"/>
    <w:rsid w:val="002949A3"/>
    <w:rsid w:val="00295781"/>
    <w:rsid w:val="0029589D"/>
    <w:rsid w:val="002958FA"/>
    <w:rsid w:val="00295D6F"/>
    <w:rsid w:val="00296A46"/>
    <w:rsid w:val="00296AE0"/>
    <w:rsid w:val="00297A23"/>
    <w:rsid w:val="00297BF6"/>
    <w:rsid w:val="00297D14"/>
    <w:rsid w:val="00297DE0"/>
    <w:rsid w:val="002A0F28"/>
    <w:rsid w:val="002A1AE9"/>
    <w:rsid w:val="002A1E95"/>
    <w:rsid w:val="002A274D"/>
    <w:rsid w:val="002A2853"/>
    <w:rsid w:val="002A29FE"/>
    <w:rsid w:val="002A2B79"/>
    <w:rsid w:val="002A2C74"/>
    <w:rsid w:val="002A3482"/>
    <w:rsid w:val="002A37B1"/>
    <w:rsid w:val="002A3D79"/>
    <w:rsid w:val="002A3DCE"/>
    <w:rsid w:val="002A3E42"/>
    <w:rsid w:val="002A401D"/>
    <w:rsid w:val="002A4633"/>
    <w:rsid w:val="002A4660"/>
    <w:rsid w:val="002A56B5"/>
    <w:rsid w:val="002A5F31"/>
    <w:rsid w:val="002A6536"/>
    <w:rsid w:val="002A6832"/>
    <w:rsid w:val="002A6840"/>
    <w:rsid w:val="002A6A57"/>
    <w:rsid w:val="002A6B43"/>
    <w:rsid w:val="002A7ABA"/>
    <w:rsid w:val="002A7EE7"/>
    <w:rsid w:val="002B041C"/>
    <w:rsid w:val="002B056E"/>
    <w:rsid w:val="002B0625"/>
    <w:rsid w:val="002B0A05"/>
    <w:rsid w:val="002B0D2C"/>
    <w:rsid w:val="002B0F8B"/>
    <w:rsid w:val="002B1E60"/>
    <w:rsid w:val="002B2498"/>
    <w:rsid w:val="002B26B5"/>
    <w:rsid w:val="002B298E"/>
    <w:rsid w:val="002B2A6B"/>
    <w:rsid w:val="002B2C3B"/>
    <w:rsid w:val="002B2CCC"/>
    <w:rsid w:val="002B2D51"/>
    <w:rsid w:val="002B2F52"/>
    <w:rsid w:val="002B327B"/>
    <w:rsid w:val="002B386C"/>
    <w:rsid w:val="002B3C82"/>
    <w:rsid w:val="002B3ED3"/>
    <w:rsid w:val="002B45F9"/>
    <w:rsid w:val="002B4999"/>
    <w:rsid w:val="002B4ADA"/>
    <w:rsid w:val="002B4BA6"/>
    <w:rsid w:val="002B4C8F"/>
    <w:rsid w:val="002B4FF3"/>
    <w:rsid w:val="002B571F"/>
    <w:rsid w:val="002B64F8"/>
    <w:rsid w:val="002B656A"/>
    <w:rsid w:val="002B69C3"/>
    <w:rsid w:val="002B6BD2"/>
    <w:rsid w:val="002B762A"/>
    <w:rsid w:val="002B79C6"/>
    <w:rsid w:val="002B7DAA"/>
    <w:rsid w:val="002B7DCE"/>
    <w:rsid w:val="002B7F4B"/>
    <w:rsid w:val="002C01AB"/>
    <w:rsid w:val="002C06A8"/>
    <w:rsid w:val="002C0BF3"/>
    <w:rsid w:val="002C0E6F"/>
    <w:rsid w:val="002C1251"/>
    <w:rsid w:val="002C1B1F"/>
    <w:rsid w:val="002C21B5"/>
    <w:rsid w:val="002C2286"/>
    <w:rsid w:val="002C2895"/>
    <w:rsid w:val="002C2F45"/>
    <w:rsid w:val="002C2F8E"/>
    <w:rsid w:val="002C3612"/>
    <w:rsid w:val="002C3933"/>
    <w:rsid w:val="002C40DF"/>
    <w:rsid w:val="002C42E5"/>
    <w:rsid w:val="002C432E"/>
    <w:rsid w:val="002C49E5"/>
    <w:rsid w:val="002C4D40"/>
    <w:rsid w:val="002C4D46"/>
    <w:rsid w:val="002C51A3"/>
    <w:rsid w:val="002C51E0"/>
    <w:rsid w:val="002C5967"/>
    <w:rsid w:val="002C5A06"/>
    <w:rsid w:val="002C618B"/>
    <w:rsid w:val="002C6365"/>
    <w:rsid w:val="002C636A"/>
    <w:rsid w:val="002C6BD2"/>
    <w:rsid w:val="002C6D84"/>
    <w:rsid w:val="002C6E4F"/>
    <w:rsid w:val="002C798A"/>
    <w:rsid w:val="002C7A14"/>
    <w:rsid w:val="002C7D83"/>
    <w:rsid w:val="002D0039"/>
    <w:rsid w:val="002D01F3"/>
    <w:rsid w:val="002D0807"/>
    <w:rsid w:val="002D0ED6"/>
    <w:rsid w:val="002D14E1"/>
    <w:rsid w:val="002D1599"/>
    <w:rsid w:val="002D1C9F"/>
    <w:rsid w:val="002D24D3"/>
    <w:rsid w:val="002D29C1"/>
    <w:rsid w:val="002D2B19"/>
    <w:rsid w:val="002D2C6F"/>
    <w:rsid w:val="002D31B0"/>
    <w:rsid w:val="002D32E1"/>
    <w:rsid w:val="002D3869"/>
    <w:rsid w:val="002D3FD1"/>
    <w:rsid w:val="002D4302"/>
    <w:rsid w:val="002D507C"/>
    <w:rsid w:val="002D5383"/>
    <w:rsid w:val="002D5A95"/>
    <w:rsid w:val="002D5AFE"/>
    <w:rsid w:val="002D5B89"/>
    <w:rsid w:val="002D5FC3"/>
    <w:rsid w:val="002D6320"/>
    <w:rsid w:val="002D646C"/>
    <w:rsid w:val="002D678F"/>
    <w:rsid w:val="002D6A63"/>
    <w:rsid w:val="002D6B7C"/>
    <w:rsid w:val="002D7090"/>
    <w:rsid w:val="002D7B02"/>
    <w:rsid w:val="002E0316"/>
    <w:rsid w:val="002E0894"/>
    <w:rsid w:val="002E0A84"/>
    <w:rsid w:val="002E0BD0"/>
    <w:rsid w:val="002E0C29"/>
    <w:rsid w:val="002E1D2E"/>
    <w:rsid w:val="002E1D66"/>
    <w:rsid w:val="002E2329"/>
    <w:rsid w:val="002E28AF"/>
    <w:rsid w:val="002E2C72"/>
    <w:rsid w:val="002E2C96"/>
    <w:rsid w:val="002E365E"/>
    <w:rsid w:val="002E36EC"/>
    <w:rsid w:val="002E3CBE"/>
    <w:rsid w:val="002E3EB7"/>
    <w:rsid w:val="002E3FE2"/>
    <w:rsid w:val="002E4146"/>
    <w:rsid w:val="002E4645"/>
    <w:rsid w:val="002E46FB"/>
    <w:rsid w:val="002E4D7E"/>
    <w:rsid w:val="002E4DAC"/>
    <w:rsid w:val="002E4DED"/>
    <w:rsid w:val="002E507B"/>
    <w:rsid w:val="002E51F7"/>
    <w:rsid w:val="002E5B49"/>
    <w:rsid w:val="002E658D"/>
    <w:rsid w:val="002E6950"/>
    <w:rsid w:val="002E7785"/>
    <w:rsid w:val="002E7DE5"/>
    <w:rsid w:val="002F08EA"/>
    <w:rsid w:val="002F1A52"/>
    <w:rsid w:val="002F1AE1"/>
    <w:rsid w:val="002F1D11"/>
    <w:rsid w:val="002F3168"/>
    <w:rsid w:val="002F34E3"/>
    <w:rsid w:val="002F35D4"/>
    <w:rsid w:val="002F35DE"/>
    <w:rsid w:val="002F35F2"/>
    <w:rsid w:val="002F3C13"/>
    <w:rsid w:val="002F42C2"/>
    <w:rsid w:val="002F4589"/>
    <w:rsid w:val="002F4729"/>
    <w:rsid w:val="002F476F"/>
    <w:rsid w:val="002F48C3"/>
    <w:rsid w:val="002F49B5"/>
    <w:rsid w:val="002F4EFD"/>
    <w:rsid w:val="002F5291"/>
    <w:rsid w:val="002F56D8"/>
    <w:rsid w:val="002F5756"/>
    <w:rsid w:val="002F5B34"/>
    <w:rsid w:val="002F5C20"/>
    <w:rsid w:val="002F5FBB"/>
    <w:rsid w:val="002F6046"/>
    <w:rsid w:val="002F68BD"/>
    <w:rsid w:val="002F6EE9"/>
    <w:rsid w:val="002F6FD0"/>
    <w:rsid w:val="002F732E"/>
    <w:rsid w:val="002F77E7"/>
    <w:rsid w:val="002F7B81"/>
    <w:rsid w:val="00300D6C"/>
    <w:rsid w:val="00301AA2"/>
    <w:rsid w:val="00301FF0"/>
    <w:rsid w:val="003020EE"/>
    <w:rsid w:val="00302506"/>
    <w:rsid w:val="00302AF2"/>
    <w:rsid w:val="00302F99"/>
    <w:rsid w:val="00303311"/>
    <w:rsid w:val="00303944"/>
    <w:rsid w:val="00303CF3"/>
    <w:rsid w:val="00304F0C"/>
    <w:rsid w:val="00304FE4"/>
    <w:rsid w:val="00305924"/>
    <w:rsid w:val="00305B43"/>
    <w:rsid w:val="00305E89"/>
    <w:rsid w:val="003064A0"/>
    <w:rsid w:val="00306CA3"/>
    <w:rsid w:val="00306FFF"/>
    <w:rsid w:val="00307B90"/>
    <w:rsid w:val="003103EE"/>
    <w:rsid w:val="00310818"/>
    <w:rsid w:val="0031091E"/>
    <w:rsid w:val="00310C2F"/>
    <w:rsid w:val="00310E68"/>
    <w:rsid w:val="003111BA"/>
    <w:rsid w:val="0031153C"/>
    <w:rsid w:val="00311598"/>
    <w:rsid w:val="003118A2"/>
    <w:rsid w:val="00312317"/>
    <w:rsid w:val="0031273E"/>
    <w:rsid w:val="00312889"/>
    <w:rsid w:val="003129F3"/>
    <w:rsid w:val="00312CE8"/>
    <w:rsid w:val="00313224"/>
    <w:rsid w:val="00313400"/>
    <w:rsid w:val="003136F5"/>
    <w:rsid w:val="0031451C"/>
    <w:rsid w:val="00314B35"/>
    <w:rsid w:val="00314CD2"/>
    <w:rsid w:val="00315228"/>
    <w:rsid w:val="0031546A"/>
    <w:rsid w:val="00315625"/>
    <w:rsid w:val="003157D2"/>
    <w:rsid w:val="0031623E"/>
    <w:rsid w:val="00316535"/>
    <w:rsid w:val="00316740"/>
    <w:rsid w:val="003167D7"/>
    <w:rsid w:val="00316C3B"/>
    <w:rsid w:val="0031762B"/>
    <w:rsid w:val="003200A3"/>
    <w:rsid w:val="00320348"/>
    <w:rsid w:val="00320D7B"/>
    <w:rsid w:val="00320D96"/>
    <w:rsid w:val="00320E74"/>
    <w:rsid w:val="00321361"/>
    <w:rsid w:val="003214BE"/>
    <w:rsid w:val="003214FD"/>
    <w:rsid w:val="003219FA"/>
    <w:rsid w:val="00321CC2"/>
    <w:rsid w:val="00321E28"/>
    <w:rsid w:val="00321F0E"/>
    <w:rsid w:val="003229CD"/>
    <w:rsid w:val="00323111"/>
    <w:rsid w:val="003231E3"/>
    <w:rsid w:val="0032341C"/>
    <w:rsid w:val="00323425"/>
    <w:rsid w:val="00323F2B"/>
    <w:rsid w:val="00325131"/>
    <w:rsid w:val="00325218"/>
    <w:rsid w:val="00325578"/>
    <w:rsid w:val="003256F1"/>
    <w:rsid w:val="003259B7"/>
    <w:rsid w:val="00325CCB"/>
    <w:rsid w:val="00325E7F"/>
    <w:rsid w:val="003269A7"/>
    <w:rsid w:val="00326A1B"/>
    <w:rsid w:val="003272A0"/>
    <w:rsid w:val="003275FD"/>
    <w:rsid w:val="003276BD"/>
    <w:rsid w:val="0032798C"/>
    <w:rsid w:val="00327A9A"/>
    <w:rsid w:val="00327B26"/>
    <w:rsid w:val="00327C40"/>
    <w:rsid w:val="00327C65"/>
    <w:rsid w:val="00330908"/>
    <w:rsid w:val="0033090E"/>
    <w:rsid w:val="00330A63"/>
    <w:rsid w:val="00330A9A"/>
    <w:rsid w:val="00330D5A"/>
    <w:rsid w:val="00331554"/>
    <w:rsid w:val="0033171B"/>
    <w:rsid w:val="003319B7"/>
    <w:rsid w:val="0033212E"/>
    <w:rsid w:val="003322F7"/>
    <w:rsid w:val="003324BB"/>
    <w:rsid w:val="00332541"/>
    <w:rsid w:val="003331F4"/>
    <w:rsid w:val="00333CCA"/>
    <w:rsid w:val="00333EDC"/>
    <w:rsid w:val="00334173"/>
    <w:rsid w:val="0033476B"/>
    <w:rsid w:val="00334BD8"/>
    <w:rsid w:val="00334CE4"/>
    <w:rsid w:val="00335555"/>
    <w:rsid w:val="003357DA"/>
    <w:rsid w:val="0033583E"/>
    <w:rsid w:val="003359EB"/>
    <w:rsid w:val="00335A4A"/>
    <w:rsid w:val="003360A3"/>
    <w:rsid w:val="003361BC"/>
    <w:rsid w:val="00336A5D"/>
    <w:rsid w:val="00337067"/>
    <w:rsid w:val="003372B9"/>
    <w:rsid w:val="003376C0"/>
    <w:rsid w:val="003378C4"/>
    <w:rsid w:val="003378D6"/>
    <w:rsid w:val="003378F0"/>
    <w:rsid w:val="003379F5"/>
    <w:rsid w:val="00337B4D"/>
    <w:rsid w:val="00337CB8"/>
    <w:rsid w:val="00337F98"/>
    <w:rsid w:val="00340289"/>
    <w:rsid w:val="003405A9"/>
    <w:rsid w:val="00340EBB"/>
    <w:rsid w:val="00341400"/>
    <w:rsid w:val="0034160B"/>
    <w:rsid w:val="003416D6"/>
    <w:rsid w:val="003419D8"/>
    <w:rsid w:val="00341C67"/>
    <w:rsid w:val="00342274"/>
    <w:rsid w:val="003427CB"/>
    <w:rsid w:val="003428C3"/>
    <w:rsid w:val="00342F61"/>
    <w:rsid w:val="0034306D"/>
    <w:rsid w:val="003431B9"/>
    <w:rsid w:val="003431F3"/>
    <w:rsid w:val="0034343B"/>
    <w:rsid w:val="003434C4"/>
    <w:rsid w:val="003445C2"/>
    <w:rsid w:val="00345167"/>
    <w:rsid w:val="003451F8"/>
    <w:rsid w:val="00345563"/>
    <w:rsid w:val="003455CD"/>
    <w:rsid w:val="003456E5"/>
    <w:rsid w:val="00345D55"/>
    <w:rsid w:val="00346195"/>
    <w:rsid w:val="003463FC"/>
    <w:rsid w:val="00346736"/>
    <w:rsid w:val="00346A3F"/>
    <w:rsid w:val="00346C09"/>
    <w:rsid w:val="00346FBD"/>
    <w:rsid w:val="00347833"/>
    <w:rsid w:val="00347910"/>
    <w:rsid w:val="00347C07"/>
    <w:rsid w:val="00347EDA"/>
    <w:rsid w:val="0035044D"/>
    <w:rsid w:val="0035046C"/>
    <w:rsid w:val="003505E7"/>
    <w:rsid w:val="0035094F"/>
    <w:rsid w:val="00350ECF"/>
    <w:rsid w:val="00350F5D"/>
    <w:rsid w:val="00350FE1"/>
    <w:rsid w:val="00351504"/>
    <w:rsid w:val="0035180F"/>
    <w:rsid w:val="00351EF2"/>
    <w:rsid w:val="0035221B"/>
    <w:rsid w:val="0035251C"/>
    <w:rsid w:val="003527C8"/>
    <w:rsid w:val="00352B67"/>
    <w:rsid w:val="00352D29"/>
    <w:rsid w:val="00352ED5"/>
    <w:rsid w:val="003532FE"/>
    <w:rsid w:val="00353445"/>
    <w:rsid w:val="0035362D"/>
    <w:rsid w:val="0035375A"/>
    <w:rsid w:val="00354D8C"/>
    <w:rsid w:val="00355014"/>
    <w:rsid w:val="003551C9"/>
    <w:rsid w:val="00355921"/>
    <w:rsid w:val="00356058"/>
    <w:rsid w:val="003561DA"/>
    <w:rsid w:val="003566A8"/>
    <w:rsid w:val="00356DEE"/>
    <w:rsid w:val="00356F29"/>
    <w:rsid w:val="00357BFF"/>
    <w:rsid w:val="00360083"/>
    <w:rsid w:val="003602D4"/>
    <w:rsid w:val="00360BEA"/>
    <w:rsid w:val="00360C96"/>
    <w:rsid w:val="003610B9"/>
    <w:rsid w:val="0036128E"/>
    <w:rsid w:val="00361322"/>
    <w:rsid w:val="00361594"/>
    <w:rsid w:val="00361A65"/>
    <w:rsid w:val="00361B4E"/>
    <w:rsid w:val="00361BA0"/>
    <w:rsid w:val="003622B1"/>
    <w:rsid w:val="00362A2F"/>
    <w:rsid w:val="00362E6D"/>
    <w:rsid w:val="00362EE9"/>
    <w:rsid w:val="003630C8"/>
    <w:rsid w:val="003631E6"/>
    <w:rsid w:val="0036396F"/>
    <w:rsid w:val="00363D71"/>
    <w:rsid w:val="0036443B"/>
    <w:rsid w:val="00365069"/>
    <w:rsid w:val="003653A6"/>
    <w:rsid w:val="00365482"/>
    <w:rsid w:val="003657CC"/>
    <w:rsid w:val="0036594C"/>
    <w:rsid w:val="0036612C"/>
    <w:rsid w:val="003661E2"/>
    <w:rsid w:val="00366336"/>
    <w:rsid w:val="00366559"/>
    <w:rsid w:val="003667A2"/>
    <w:rsid w:val="00366CC8"/>
    <w:rsid w:val="00366E61"/>
    <w:rsid w:val="00367932"/>
    <w:rsid w:val="00367C05"/>
    <w:rsid w:val="00367CEC"/>
    <w:rsid w:val="00370558"/>
    <w:rsid w:val="00371839"/>
    <w:rsid w:val="00372252"/>
    <w:rsid w:val="00372968"/>
    <w:rsid w:val="00372CF1"/>
    <w:rsid w:val="00372F77"/>
    <w:rsid w:val="00373018"/>
    <w:rsid w:val="00373109"/>
    <w:rsid w:val="0037342A"/>
    <w:rsid w:val="00373811"/>
    <w:rsid w:val="003742CC"/>
    <w:rsid w:val="00374421"/>
    <w:rsid w:val="00374426"/>
    <w:rsid w:val="00374BEE"/>
    <w:rsid w:val="0037537A"/>
    <w:rsid w:val="0037551F"/>
    <w:rsid w:val="0037557A"/>
    <w:rsid w:val="003756E4"/>
    <w:rsid w:val="00376AD7"/>
    <w:rsid w:val="0037730F"/>
    <w:rsid w:val="00377333"/>
    <w:rsid w:val="00377C5B"/>
    <w:rsid w:val="00377E8B"/>
    <w:rsid w:val="00377F5F"/>
    <w:rsid w:val="003808BC"/>
    <w:rsid w:val="003810E4"/>
    <w:rsid w:val="00381AE6"/>
    <w:rsid w:val="00381CD6"/>
    <w:rsid w:val="0038210D"/>
    <w:rsid w:val="00382C8B"/>
    <w:rsid w:val="00383D03"/>
    <w:rsid w:val="00383D41"/>
    <w:rsid w:val="0038418F"/>
    <w:rsid w:val="0038447A"/>
    <w:rsid w:val="0038479B"/>
    <w:rsid w:val="00384CC4"/>
    <w:rsid w:val="00384CCC"/>
    <w:rsid w:val="00384F55"/>
    <w:rsid w:val="00384F76"/>
    <w:rsid w:val="003856B0"/>
    <w:rsid w:val="00385744"/>
    <w:rsid w:val="0038666A"/>
    <w:rsid w:val="0038669C"/>
    <w:rsid w:val="00386AE7"/>
    <w:rsid w:val="00386DD9"/>
    <w:rsid w:val="00387012"/>
    <w:rsid w:val="0038767E"/>
    <w:rsid w:val="00387C60"/>
    <w:rsid w:val="00387D68"/>
    <w:rsid w:val="00387ED6"/>
    <w:rsid w:val="00390B9E"/>
    <w:rsid w:val="00390C66"/>
    <w:rsid w:val="003916AA"/>
    <w:rsid w:val="003920BA"/>
    <w:rsid w:val="0039211F"/>
    <w:rsid w:val="00392832"/>
    <w:rsid w:val="003928C4"/>
    <w:rsid w:val="00393011"/>
    <w:rsid w:val="003930D3"/>
    <w:rsid w:val="00393225"/>
    <w:rsid w:val="00393237"/>
    <w:rsid w:val="003937E6"/>
    <w:rsid w:val="00393A87"/>
    <w:rsid w:val="00393DFF"/>
    <w:rsid w:val="00393E21"/>
    <w:rsid w:val="00394009"/>
    <w:rsid w:val="003952A9"/>
    <w:rsid w:val="0039561F"/>
    <w:rsid w:val="00395879"/>
    <w:rsid w:val="00395E85"/>
    <w:rsid w:val="00396248"/>
    <w:rsid w:val="00396C34"/>
    <w:rsid w:val="003971EE"/>
    <w:rsid w:val="00397AE2"/>
    <w:rsid w:val="00397C62"/>
    <w:rsid w:val="00397CD6"/>
    <w:rsid w:val="003A07D1"/>
    <w:rsid w:val="003A08CD"/>
    <w:rsid w:val="003A0D41"/>
    <w:rsid w:val="003A1016"/>
    <w:rsid w:val="003A1336"/>
    <w:rsid w:val="003A2BBA"/>
    <w:rsid w:val="003A35A5"/>
    <w:rsid w:val="003A3A10"/>
    <w:rsid w:val="003A3CBA"/>
    <w:rsid w:val="003A4101"/>
    <w:rsid w:val="003A4448"/>
    <w:rsid w:val="003A5152"/>
    <w:rsid w:val="003A538E"/>
    <w:rsid w:val="003A5BDA"/>
    <w:rsid w:val="003A5CA4"/>
    <w:rsid w:val="003A5F41"/>
    <w:rsid w:val="003A6012"/>
    <w:rsid w:val="003A624B"/>
    <w:rsid w:val="003A6422"/>
    <w:rsid w:val="003A6870"/>
    <w:rsid w:val="003A6EBC"/>
    <w:rsid w:val="003A7044"/>
    <w:rsid w:val="003A754C"/>
    <w:rsid w:val="003A76B6"/>
    <w:rsid w:val="003A79BB"/>
    <w:rsid w:val="003A7EF5"/>
    <w:rsid w:val="003B0069"/>
    <w:rsid w:val="003B0439"/>
    <w:rsid w:val="003B097A"/>
    <w:rsid w:val="003B0D9A"/>
    <w:rsid w:val="003B12F5"/>
    <w:rsid w:val="003B133E"/>
    <w:rsid w:val="003B1AC7"/>
    <w:rsid w:val="003B1ACC"/>
    <w:rsid w:val="003B22A8"/>
    <w:rsid w:val="003B2510"/>
    <w:rsid w:val="003B27D9"/>
    <w:rsid w:val="003B31CA"/>
    <w:rsid w:val="003B43F3"/>
    <w:rsid w:val="003B4584"/>
    <w:rsid w:val="003B4743"/>
    <w:rsid w:val="003B4A35"/>
    <w:rsid w:val="003B4DF4"/>
    <w:rsid w:val="003B5228"/>
    <w:rsid w:val="003B53FD"/>
    <w:rsid w:val="003B58EE"/>
    <w:rsid w:val="003B5A3A"/>
    <w:rsid w:val="003B5C70"/>
    <w:rsid w:val="003B5D82"/>
    <w:rsid w:val="003B620B"/>
    <w:rsid w:val="003B6249"/>
    <w:rsid w:val="003B68FA"/>
    <w:rsid w:val="003B6C47"/>
    <w:rsid w:val="003B70AE"/>
    <w:rsid w:val="003B7152"/>
    <w:rsid w:val="003B722A"/>
    <w:rsid w:val="003B7251"/>
    <w:rsid w:val="003B7CFB"/>
    <w:rsid w:val="003B7EA6"/>
    <w:rsid w:val="003C030E"/>
    <w:rsid w:val="003C0427"/>
    <w:rsid w:val="003C055A"/>
    <w:rsid w:val="003C0831"/>
    <w:rsid w:val="003C0984"/>
    <w:rsid w:val="003C0EB1"/>
    <w:rsid w:val="003C21C5"/>
    <w:rsid w:val="003C228A"/>
    <w:rsid w:val="003C2F05"/>
    <w:rsid w:val="003C321D"/>
    <w:rsid w:val="003C394E"/>
    <w:rsid w:val="003C3E1A"/>
    <w:rsid w:val="003C3F51"/>
    <w:rsid w:val="003C4014"/>
    <w:rsid w:val="003C4209"/>
    <w:rsid w:val="003C4957"/>
    <w:rsid w:val="003C4DF7"/>
    <w:rsid w:val="003C4FD7"/>
    <w:rsid w:val="003C504B"/>
    <w:rsid w:val="003C5536"/>
    <w:rsid w:val="003C5592"/>
    <w:rsid w:val="003C5828"/>
    <w:rsid w:val="003C6543"/>
    <w:rsid w:val="003C68AA"/>
    <w:rsid w:val="003C68F6"/>
    <w:rsid w:val="003C6BFA"/>
    <w:rsid w:val="003C6C45"/>
    <w:rsid w:val="003C6CF4"/>
    <w:rsid w:val="003C7716"/>
    <w:rsid w:val="003C78B5"/>
    <w:rsid w:val="003D039F"/>
    <w:rsid w:val="003D03B6"/>
    <w:rsid w:val="003D0615"/>
    <w:rsid w:val="003D0E78"/>
    <w:rsid w:val="003D10B2"/>
    <w:rsid w:val="003D175A"/>
    <w:rsid w:val="003D1F1B"/>
    <w:rsid w:val="003D2116"/>
    <w:rsid w:val="003D24D2"/>
    <w:rsid w:val="003D26EE"/>
    <w:rsid w:val="003D3177"/>
    <w:rsid w:val="003D3726"/>
    <w:rsid w:val="003D44A8"/>
    <w:rsid w:val="003D4E3B"/>
    <w:rsid w:val="003D4F4F"/>
    <w:rsid w:val="003D513E"/>
    <w:rsid w:val="003D538F"/>
    <w:rsid w:val="003D5B8E"/>
    <w:rsid w:val="003D5CC0"/>
    <w:rsid w:val="003D6657"/>
    <w:rsid w:val="003D6D38"/>
    <w:rsid w:val="003D6F8B"/>
    <w:rsid w:val="003D71F3"/>
    <w:rsid w:val="003D78CA"/>
    <w:rsid w:val="003D793E"/>
    <w:rsid w:val="003D7BA2"/>
    <w:rsid w:val="003D7BCD"/>
    <w:rsid w:val="003D7D44"/>
    <w:rsid w:val="003E0338"/>
    <w:rsid w:val="003E0E41"/>
    <w:rsid w:val="003E13DB"/>
    <w:rsid w:val="003E1C3D"/>
    <w:rsid w:val="003E1F9F"/>
    <w:rsid w:val="003E281C"/>
    <w:rsid w:val="003E29DA"/>
    <w:rsid w:val="003E2A77"/>
    <w:rsid w:val="003E3202"/>
    <w:rsid w:val="003E35DD"/>
    <w:rsid w:val="003E395E"/>
    <w:rsid w:val="003E3DED"/>
    <w:rsid w:val="003E449C"/>
    <w:rsid w:val="003E5411"/>
    <w:rsid w:val="003E592C"/>
    <w:rsid w:val="003E5A5E"/>
    <w:rsid w:val="003E640A"/>
    <w:rsid w:val="003E68A6"/>
    <w:rsid w:val="003E6C93"/>
    <w:rsid w:val="003E6D46"/>
    <w:rsid w:val="003E6D56"/>
    <w:rsid w:val="003E6F78"/>
    <w:rsid w:val="003E7818"/>
    <w:rsid w:val="003F10B1"/>
    <w:rsid w:val="003F1316"/>
    <w:rsid w:val="003F13DC"/>
    <w:rsid w:val="003F1D18"/>
    <w:rsid w:val="003F1FAA"/>
    <w:rsid w:val="003F2392"/>
    <w:rsid w:val="003F2BC0"/>
    <w:rsid w:val="003F2D74"/>
    <w:rsid w:val="003F3F9B"/>
    <w:rsid w:val="003F3FA9"/>
    <w:rsid w:val="003F4404"/>
    <w:rsid w:val="003F47C7"/>
    <w:rsid w:val="003F49A2"/>
    <w:rsid w:val="003F5818"/>
    <w:rsid w:val="003F5AA2"/>
    <w:rsid w:val="003F62F0"/>
    <w:rsid w:val="003F6697"/>
    <w:rsid w:val="003F68AA"/>
    <w:rsid w:val="003F6C2D"/>
    <w:rsid w:val="003F6DF2"/>
    <w:rsid w:val="003F6E7B"/>
    <w:rsid w:val="003F760A"/>
    <w:rsid w:val="003F77F0"/>
    <w:rsid w:val="004005F4"/>
    <w:rsid w:val="0040074D"/>
    <w:rsid w:val="0040099C"/>
    <w:rsid w:val="00400BBE"/>
    <w:rsid w:val="00401028"/>
    <w:rsid w:val="00401087"/>
    <w:rsid w:val="004012A0"/>
    <w:rsid w:val="00401889"/>
    <w:rsid w:val="00401973"/>
    <w:rsid w:val="00401C97"/>
    <w:rsid w:val="00401D86"/>
    <w:rsid w:val="004021E1"/>
    <w:rsid w:val="00402904"/>
    <w:rsid w:val="00403003"/>
    <w:rsid w:val="00403B00"/>
    <w:rsid w:val="00403E0E"/>
    <w:rsid w:val="004053EA"/>
    <w:rsid w:val="004059CA"/>
    <w:rsid w:val="004059E8"/>
    <w:rsid w:val="00405A0E"/>
    <w:rsid w:val="00405B77"/>
    <w:rsid w:val="00405B90"/>
    <w:rsid w:val="00405E81"/>
    <w:rsid w:val="0040622A"/>
    <w:rsid w:val="004062C3"/>
    <w:rsid w:val="004066E4"/>
    <w:rsid w:val="00406755"/>
    <w:rsid w:val="00406C19"/>
    <w:rsid w:val="00406DF4"/>
    <w:rsid w:val="00406F40"/>
    <w:rsid w:val="00407066"/>
    <w:rsid w:val="004072F5"/>
    <w:rsid w:val="0040748C"/>
    <w:rsid w:val="00407679"/>
    <w:rsid w:val="00407AD6"/>
    <w:rsid w:val="00407BFC"/>
    <w:rsid w:val="00407FDE"/>
    <w:rsid w:val="00410553"/>
    <w:rsid w:val="00410BFD"/>
    <w:rsid w:val="00410D10"/>
    <w:rsid w:val="00410D19"/>
    <w:rsid w:val="00411325"/>
    <w:rsid w:val="00411367"/>
    <w:rsid w:val="004113E0"/>
    <w:rsid w:val="004114BA"/>
    <w:rsid w:val="00411516"/>
    <w:rsid w:val="004126C0"/>
    <w:rsid w:val="00412AFA"/>
    <w:rsid w:val="00412CA7"/>
    <w:rsid w:val="00413298"/>
    <w:rsid w:val="004132F8"/>
    <w:rsid w:val="004133FC"/>
    <w:rsid w:val="00413BBA"/>
    <w:rsid w:val="00414188"/>
    <w:rsid w:val="004149BB"/>
    <w:rsid w:val="00414E9D"/>
    <w:rsid w:val="0041517A"/>
    <w:rsid w:val="004153EA"/>
    <w:rsid w:val="004153FB"/>
    <w:rsid w:val="00415680"/>
    <w:rsid w:val="00416973"/>
    <w:rsid w:val="00416A14"/>
    <w:rsid w:val="00416C5E"/>
    <w:rsid w:val="004170F6"/>
    <w:rsid w:val="0041737D"/>
    <w:rsid w:val="0041769A"/>
    <w:rsid w:val="0041782F"/>
    <w:rsid w:val="0042023E"/>
    <w:rsid w:val="004202D7"/>
    <w:rsid w:val="00420ACC"/>
    <w:rsid w:val="00420BB2"/>
    <w:rsid w:val="00420E09"/>
    <w:rsid w:val="00420F98"/>
    <w:rsid w:val="004211F8"/>
    <w:rsid w:val="00421321"/>
    <w:rsid w:val="00421471"/>
    <w:rsid w:val="00421609"/>
    <w:rsid w:val="00421E61"/>
    <w:rsid w:val="00421F11"/>
    <w:rsid w:val="00422194"/>
    <w:rsid w:val="00422ADA"/>
    <w:rsid w:val="00423B18"/>
    <w:rsid w:val="00423D70"/>
    <w:rsid w:val="00424026"/>
    <w:rsid w:val="004240BB"/>
    <w:rsid w:val="00424107"/>
    <w:rsid w:val="00424283"/>
    <w:rsid w:val="00424CAA"/>
    <w:rsid w:val="004252AE"/>
    <w:rsid w:val="0042535F"/>
    <w:rsid w:val="004254F7"/>
    <w:rsid w:val="00425912"/>
    <w:rsid w:val="004259A4"/>
    <w:rsid w:val="00425B77"/>
    <w:rsid w:val="00425CFE"/>
    <w:rsid w:val="00425D21"/>
    <w:rsid w:val="0042688C"/>
    <w:rsid w:val="004268DA"/>
    <w:rsid w:val="00426974"/>
    <w:rsid w:val="00426BCB"/>
    <w:rsid w:val="00426C2D"/>
    <w:rsid w:val="00427AF8"/>
    <w:rsid w:val="00427BB4"/>
    <w:rsid w:val="00427D77"/>
    <w:rsid w:val="00427FCC"/>
    <w:rsid w:val="00430218"/>
    <w:rsid w:val="004304E3"/>
    <w:rsid w:val="004305A1"/>
    <w:rsid w:val="004306BE"/>
    <w:rsid w:val="00430E80"/>
    <w:rsid w:val="004310AF"/>
    <w:rsid w:val="0043187D"/>
    <w:rsid w:val="00431E42"/>
    <w:rsid w:val="00431EE6"/>
    <w:rsid w:val="00432413"/>
    <w:rsid w:val="0043260B"/>
    <w:rsid w:val="00432735"/>
    <w:rsid w:val="00432B22"/>
    <w:rsid w:val="00433A78"/>
    <w:rsid w:val="00433BEE"/>
    <w:rsid w:val="00433E30"/>
    <w:rsid w:val="00433E3A"/>
    <w:rsid w:val="00434B86"/>
    <w:rsid w:val="004352DF"/>
    <w:rsid w:val="004357EA"/>
    <w:rsid w:val="00435A6B"/>
    <w:rsid w:val="00435BFA"/>
    <w:rsid w:val="00436883"/>
    <w:rsid w:val="00436C34"/>
    <w:rsid w:val="00436CA1"/>
    <w:rsid w:val="00436D0A"/>
    <w:rsid w:val="00437667"/>
    <w:rsid w:val="0043770C"/>
    <w:rsid w:val="00437728"/>
    <w:rsid w:val="00437864"/>
    <w:rsid w:val="0043790B"/>
    <w:rsid w:val="00437A4B"/>
    <w:rsid w:val="00440036"/>
    <w:rsid w:val="00440391"/>
    <w:rsid w:val="00440F4F"/>
    <w:rsid w:val="0044134B"/>
    <w:rsid w:val="00441380"/>
    <w:rsid w:val="004414CE"/>
    <w:rsid w:val="004418A0"/>
    <w:rsid w:val="00441B42"/>
    <w:rsid w:val="00442346"/>
    <w:rsid w:val="0044254D"/>
    <w:rsid w:val="00442E70"/>
    <w:rsid w:val="004431E0"/>
    <w:rsid w:val="0044365C"/>
    <w:rsid w:val="00443836"/>
    <w:rsid w:val="00443E00"/>
    <w:rsid w:val="0044400A"/>
    <w:rsid w:val="004440C4"/>
    <w:rsid w:val="00444429"/>
    <w:rsid w:val="00444D9B"/>
    <w:rsid w:val="004450C6"/>
    <w:rsid w:val="004457FC"/>
    <w:rsid w:val="00445B37"/>
    <w:rsid w:val="00446788"/>
    <w:rsid w:val="004467FF"/>
    <w:rsid w:val="004468AA"/>
    <w:rsid w:val="00446CB2"/>
    <w:rsid w:val="00446E3D"/>
    <w:rsid w:val="00446EC5"/>
    <w:rsid w:val="00447111"/>
    <w:rsid w:val="0044757D"/>
    <w:rsid w:val="004478E7"/>
    <w:rsid w:val="00450043"/>
    <w:rsid w:val="00450046"/>
    <w:rsid w:val="00450075"/>
    <w:rsid w:val="0045031E"/>
    <w:rsid w:val="00450CC1"/>
    <w:rsid w:val="00450E2E"/>
    <w:rsid w:val="00450FB0"/>
    <w:rsid w:val="00451A23"/>
    <w:rsid w:val="00451FAD"/>
    <w:rsid w:val="00452081"/>
    <w:rsid w:val="0045213E"/>
    <w:rsid w:val="00452415"/>
    <w:rsid w:val="00452853"/>
    <w:rsid w:val="004528E7"/>
    <w:rsid w:val="004528F4"/>
    <w:rsid w:val="00453A6D"/>
    <w:rsid w:val="00453CC9"/>
    <w:rsid w:val="00453CD8"/>
    <w:rsid w:val="004549E3"/>
    <w:rsid w:val="00454FD4"/>
    <w:rsid w:val="00455047"/>
    <w:rsid w:val="004550D2"/>
    <w:rsid w:val="00455369"/>
    <w:rsid w:val="0045577D"/>
    <w:rsid w:val="0045607E"/>
    <w:rsid w:val="004560B6"/>
    <w:rsid w:val="00456FCB"/>
    <w:rsid w:val="004571A4"/>
    <w:rsid w:val="004571CC"/>
    <w:rsid w:val="0045726C"/>
    <w:rsid w:val="00457300"/>
    <w:rsid w:val="004574E7"/>
    <w:rsid w:val="0046005C"/>
    <w:rsid w:val="004600FB"/>
    <w:rsid w:val="00460237"/>
    <w:rsid w:val="0046029E"/>
    <w:rsid w:val="004603FA"/>
    <w:rsid w:val="0046198A"/>
    <w:rsid w:val="0046201B"/>
    <w:rsid w:val="0046266E"/>
    <w:rsid w:val="004628FB"/>
    <w:rsid w:val="00462939"/>
    <w:rsid w:val="0046303D"/>
    <w:rsid w:val="004630D2"/>
    <w:rsid w:val="004644DA"/>
    <w:rsid w:val="0046475E"/>
    <w:rsid w:val="0046482B"/>
    <w:rsid w:val="00464A24"/>
    <w:rsid w:val="00464D56"/>
    <w:rsid w:val="00464FD4"/>
    <w:rsid w:val="0046522E"/>
    <w:rsid w:val="00465260"/>
    <w:rsid w:val="004653EF"/>
    <w:rsid w:val="00465DA9"/>
    <w:rsid w:val="004663A1"/>
    <w:rsid w:val="004663C4"/>
    <w:rsid w:val="0046702E"/>
    <w:rsid w:val="00467188"/>
    <w:rsid w:val="00467709"/>
    <w:rsid w:val="004677CE"/>
    <w:rsid w:val="00467D0E"/>
    <w:rsid w:val="004702ED"/>
    <w:rsid w:val="004703C7"/>
    <w:rsid w:val="0047041A"/>
    <w:rsid w:val="00470AEA"/>
    <w:rsid w:val="00470D8E"/>
    <w:rsid w:val="00470F07"/>
    <w:rsid w:val="0047147E"/>
    <w:rsid w:val="004717D4"/>
    <w:rsid w:val="004718FB"/>
    <w:rsid w:val="00471FA3"/>
    <w:rsid w:val="00471FA5"/>
    <w:rsid w:val="004720C9"/>
    <w:rsid w:val="0047312E"/>
    <w:rsid w:val="004736AF"/>
    <w:rsid w:val="00473CAA"/>
    <w:rsid w:val="00473CB1"/>
    <w:rsid w:val="00473D4A"/>
    <w:rsid w:val="004742AB"/>
    <w:rsid w:val="004745F1"/>
    <w:rsid w:val="0047469C"/>
    <w:rsid w:val="004748EE"/>
    <w:rsid w:val="00474995"/>
    <w:rsid w:val="00474BDB"/>
    <w:rsid w:val="0047545C"/>
    <w:rsid w:val="004759CF"/>
    <w:rsid w:val="004762A8"/>
    <w:rsid w:val="004763A0"/>
    <w:rsid w:val="00476802"/>
    <w:rsid w:val="00476E55"/>
    <w:rsid w:val="00476FFB"/>
    <w:rsid w:val="00477467"/>
    <w:rsid w:val="004775AD"/>
    <w:rsid w:val="00477899"/>
    <w:rsid w:val="00477E0C"/>
    <w:rsid w:val="00480D79"/>
    <w:rsid w:val="00481763"/>
    <w:rsid w:val="00482004"/>
    <w:rsid w:val="00482685"/>
    <w:rsid w:val="00482F99"/>
    <w:rsid w:val="00483605"/>
    <w:rsid w:val="00483A4C"/>
    <w:rsid w:val="00483C25"/>
    <w:rsid w:val="00483CEF"/>
    <w:rsid w:val="00483F37"/>
    <w:rsid w:val="00484351"/>
    <w:rsid w:val="004845A6"/>
    <w:rsid w:val="00484753"/>
    <w:rsid w:val="00484C1F"/>
    <w:rsid w:val="004855B8"/>
    <w:rsid w:val="004856BD"/>
    <w:rsid w:val="00485754"/>
    <w:rsid w:val="00485B25"/>
    <w:rsid w:val="00485D57"/>
    <w:rsid w:val="0048672F"/>
    <w:rsid w:val="00486A90"/>
    <w:rsid w:val="00486DD9"/>
    <w:rsid w:val="0048705F"/>
    <w:rsid w:val="004871F9"/>
    <w:rsid w:val="00487A9C"/>
    <w:rsid w:val="00487AEE"/>
    <w:rsid w:val="00487D92"/>
    <w:rsid w:val="00487DC9"/>
    <w:rsid w:val="00487E2C"/>
    <w:rsid w:val="00487F2E"/>
    <w:rsid w:val="00487F3A"/>
    <w:rsid w:val="00490530"/>
    <w:rsid w:val="00490AE1"/>
    <w:rsid w:val="00492080"/>
    <w:rsid w:val="0049209E"/>
    <w:rsid w:val="00492490"/>
    <w:rsid w:val="004929B8"/>
    <w:rsid w:val="00492FA5"/>
    <w:rsid w:val="00493024"/>
    <w:rsid w:val="004936CC"/>
    <w:rsid w:val="00493B00"/>
    <w:rsid w:val="004947E0"/>
    <w:rsid w:val="00494A3F"/>
    <w:rsid w:val="00495078"/>
    <w:rsid w:val="004954DF"/>
    <w:rsid w:val="00495E23"/>
    <w:rsid w:val="00495F0D"/>
    <w:rsid w:val="00496349"/>
    <w:rsid w:val="0049658F"/>
    <w:rsid w:val="004967D1"/>
    <w:rsid w:val="00496884"/>
    <w:rsid w:val="0049692F"/>
    <w:rsid w:val="00496E62"/>
    <w:rsid w:val="0049705D"/>
    <w:rsid w:val="004971CC"/>
    <w:rsid w:val="0049777E"/>
    <w:rsid w:val="00497879"/>
    <w:rsid w:val="004A0208"/>
    <w:rsid w:val="004A02F8"/>
    <w:rsid w:val="004A04ED"/>
    <w:rsid w:val="004A089E"/>
    <w:rsid w:val="004A0925"/>
    <w:rsid w:val="004A0B09"/>
    <w:rsid w:val="004A0FD4"/>
    <w:rsid w:val="004A12BA"/>
    <w:rsid w:val="004A1549"/>
    <w:rsid w:val="004A1CA2"/>
    <w:rsid w:val="004A211B"/>
    <w:rsid w:val="004A236E"/>
    <w:rsid w:val="004A2C61"/>
    <w:rsid w:val="004A2FE1"/>
    <w:rsid w:val="004A308B"/>
    <w:rsid w:val="004A365D"/>
    <w:rsid w:val="004A4E71"/>
    <w:rsid w:val="004A5EAA"/>
    <w:rsid w:val="004A60D4"/>
    <w:rsid w:val="004A6826"/>
    <w:rsid w:val="004A6BA3"/>
    <w:rsid w:val="004A7078"/>
    <w:rsid w:val="004A7104"/>
    <w:rsid w:val="004A7449"/>
    <w:rsid w:val="004A7D32"/>
    <w:rsid w:val="004A7E76"/>
    <w:rsid w:val="004B01D9"/>
    <w:rsid w:val="004B0339"/>
    <w:rsid w:val="004B05E9"/>
    <w:rsid w:val="004B1397"/>
    <w:rsid w:val="004B198B"/>
    <w:rsid w:val="004B20A6"/>
    <w:rsid w:val="004B2802"/>
    <w:rsid w:val="004B2B76"/>
    <w:rsid w:val="004B2F28"/>
    <w:rsid w:val="004B3509"/>
    <w:rsid w:val="004B3893"/>
    <w:rsid w:val="004B42DC"/>
    <w:rsid w:val="004B53F5"/>
    <w:rsid w:val="004B58F0"/>
    <w:rsid w:val="004B5918"/>
    <w:rsid w:val="004B5B51"/>
    <w:rsid w:val="004B5BEE"/>
    <w:rsid w:val="004B625C"/>
    <w:rsid w:val="004B64F2"/>
    <w:rsid w:val="004B6895"/>
    <w:rsid w:val="004B698D"/>
    <w:rsid w:val="004B6A83"/>
    <w:rsid w:val="004B6ABD"/>
    <w:rsid w:val="004B6FC7"/>
    <w:rsid w:val="004B73F3"/>
    <w:rsid w:val="004B76F4"/>
    <w:rsid w:val="004B7D99"/>
    <w:rsid w:val="004B7F47"/>
    <w:rsid w:val="004C088A"/>
    <w:rsid w:val="004C0C35"/>
    <w:rsid w:val="004C0E6E"/>
    <w:rsid w:val="004C0F59"/>
    <w:rsid w:val="004C1338"/>
    <w:rsid w:val="004C225F"/>
    <w:rsid w:val="004C247B"/>
    <w:rsid w:val="004C2ED1"/>
    <w:rsid w:val="004C3672"/>
    <w:rsid w:val="004C36B5"/>
    <w:rsid w:val="004C3FEA"/>
    <w:rsid w:val="004C40BC"/>
    <w:rsid w:val="004C494C"/>
    <w:rsid w:val="004C4E21"/>
    <w:rsid w:val="004C6259"/>
    <w:rsid w:val="004C6323"/>
    <w:rsid w:val="004C63BD"/>
    <w:rsid w:val="004C693E"/>
    <w:rsid w:val="004C69EA"/>
    <w:rsid w:val="004C78CF"/>
    <w:rsid w:val="004C7C33"/>
    <w:rsid w:val="004D0264"/>
    <w:rsid w:val="004D0299"/>
    <w:rsid w:val="004D1060"/>
    <w:rsid w:val="004D1238"/>
    <w:rsid w:val="004D1259"/>
    <w:rsid w:val="004D140F"/>
    <w:rsid w:val="004D15E8"/>
    <w:rsid w:val="004D1C6C"/>
    <w:rsid w:val="004D1E13"/>
    <w:rsid w:val="004D2907"/>
    <w:rsid w:val="004D2A7F"/>
    <w:rsid w:val="004D2F5E"/>
    <w:rsid w:val="004D3717"/>
    <w:rsid w:val="004D4506"/>
    <w:rsid w:val="004D4A20"/>
    <w:rsid w:val="004D4C1C"/>
    <w:rsid w:val="004D4CBA"/>
    <w:rsid w:val="004D4F67"/>
    <w:rsid w:val="004D502D"/>
    <w:rsid w:val="004D5633"/>
    <w:rsid w:val="004D5A44"/>
    <w:rsid w:val="004D5AF6"/>
    <w:rsid w:val="004D5DCF"/>
    <w:rsid w:val="004D5F47"/>
    <w:rsid w:val="004D62D7"/>
    <w:rsid w:val="004D6597"/>
    <w:rsid w:val="004D6670"/>
    <w:rsid w:val="004D6758"/>
    <w:rsid w:val="004D7029"/>
    <w:rsid w:val="004D7302"/>
    <w:rsid w:val="004D73A5"/>
    <w:rsid w:val="004D74D5"/>
    <w:rsid w:val="004D77BD"/>
    <w:rsid w:val="004D7842"/>
    <w:rsid w:val="004D7E67"/>
    <w:rsid w:val="004E00FE"/>
    <w:rsid w:val="004E052A"/>
    <w:rsid w:val="004E1042"/>
    <w:rsid w:val="004E1A5B"/>
    <w:rsid w:val="004E25DD"/>
    <w:rsid w:val="004E2728"/>
    <w:rsid w:val="004E306C"/>
    <w:rsid w:val="004E313C"/>
    <w:rsid w:val="004E34D1"/>
    <w:rsid w:val="004E3599"/>
    <w:rsid w:val="004E3B1E"/>
    <w:rsid w:val="004E3DDE"/>
    <w:rsid w:val="004E4144"/>
    <w:rsid w:val="004E44DC"/>
    <w:rsid w:val="004E49DD"/>
    <w:rsid w:val="004E4CEC"/>
    <w:rsid w:val="004E4F96"/>
    <w:rsid w:val="004E5991"/>
    <w:rsid w:val="004E5F01"/>
    <w:rsid w:val="004E63D4"/>
    <w:rsid w:val="004E7398"/>
    <w:rsid w:val="004E7590"/>
    <w:rsid w:val="004E7D90"/>
    <w:rsid w:val="004F029D"/>
    <w:rsid w:val="004F0AFA"/>
    <w:rsid w:val="004F0B20"/>
    <w:rsid w:val="004F0B2C"/>
    <w:rsid w:val="004F0FE6"/>
    <w:rsid w:val="004F112F"/>
    <w:rsid w:val="004F1415"/>
    <w:rsid w:val="004F14D5"/>
    <w:rsid w:val="004F16F9"/>
    <w:rsid w:val="004F1AD2"/>
    <w:rsid w:val="004F1CE3"/>
    <w:rsid w:val="004F214A"/>
    <w:rsid w:val="004F25E5"/>
    <w:rsid w:val="004F29F0"/>
    <w:rsid w:val="004F2C03"/>
    <w:rsid w:val="004F2EB1"/>
    <w:rsid w:val="004F31A1"/>
    <w:rsid w:val="004F33F4"/>
    <w:rsid w:val="004F3706"/>
    <w:rsid w:val="004F3B00"/>
    <w:rsid w:val="004F3BB5"/>
    <w:rsid w:val="004F4574"/>
    <w:rsid w:val="004F4879"/>
    <w:rsid w:val="004F50F3"/>
    <w:rsid w:val="004F5385"/>
    <w:rsid w:val="004F595A"/>
    <w:rsid w:val="004F5C5F"/>
    <w:rsid w:val="004F669A"/>
    <w:rsid w:val="004F6961"/>
    <w:rsid w:val="004F7202"/>
    <w:rsid w:val="004F72D5"/>
    <w:rsid w:val="00500881"/>
    <w:rsid w:val="00500EAA"/>
    <w:rsid w:val="0050152F"/>
    <w:rsid w:val="005018E2"/>
    <w:rsid w:val="005019B8"/>
    <w:rsid w:val="00501C80"/>
    <w:rsid w:val="00502528"/>
    <w:rsid w:val="00502780"/>
    <w:rsid w:val="00502831"/>
    <w:rsid w:val="00502B24"/>
    <w:rsid w:val="00502C8B"/>
    <w:rsid w:val="00503337"/>
    <w:rsid w:val="00503D0C"/>
    <w:rsid w:val="0050426D"/>
    <w:rsid w:val="00504B1A"/>
    <w:rsid w:val="00504D11"/>
    <w:rsid w:val="00504E9F"/>
    <w:rsid w:val="00505410"/>
    <w:rsid w:val="00505618"/>
    <w:rsid w:val="00505728"/>
    <w:rsid w:val="005065F9"/>
    <w:rsid w:val="00506ED5"/>
    <w:rsid w:val="0050732A"/>
    <w:rsid w:val="005077FF"/>
    <w:rsid w:val="00507822"/>
    <w:rsid w:val="00510034"/>
    <w:rsid w:val="005103EF"/>
    <w:rsid w:val="00510527"/>
    <w:rsid w:val="005105CB"/>
    <w:rsid w:val="00510709"/>
    <w:rsid w:val="00511346"/>
    <w:rsid w:val="00511814"/>
    <w:rsid w:val="00512350"/>
    <w:rsid w:val="005126C2"/>
    <w:rsid w:val="005129D9"/>
    <w:rsid w:val="005129F3"/>
    <w:rsid w:val="00512BC3"/>
    <w:rsid w:val="00512BE6"/>
    <w:rsid w:val="00513174"/>
    <w:rsid w:val="00514D84"/>
    <w:rsid w:val="00514E0C"/>
    <w:rsid w:val="005156CF"/>
    <w:rsid w:val="005158DF"/>
    <w:rsid w:val="00515ACA"/>
    <w:rsid w:val="00515D1C"/>
    <w:rsid w:val="00516634"/>
    <w:rsid w:val="005168A9"/>
    <w:rsid w:val="00516C00"/>
    <w:rsid w:val="00516C2B"/>
    <w:rsid w:val="00516CA8"/>
    <w:rsid w:val="00517ADD"/>
    <w:rsid w:val="00517C0C"/>
    <w:rsid w:val="005206E8"/>
    <w:rsid w:val="00520738"/>
    <w:rsid w:val="005207CC"/>
    <w:rsid w:val="00520A08"/>
    <w:rsid w:val="00520ABE"/>
    <w:rsid w:val="00520EFF"/>
    <w:rsid w:val="005212FA"/>
    <w:rsid w:val="005213D5"/>
    <w:rsid w:val="00521C0F"/>
    <w:rsid w:val="005220DF"/>
    <w:rsid w:val="00522DB1"/>
    <w:rsid w:val="0052378D"/>
    <w:rsid w:val="00523818"/>
    <w:rsid w:val="005241EE"/>
    <w:rsid w:val="00525192"/>
    <w:rsid w:val="00525337"/>
    <w:rsid w:val="005258EC"/>
    <w:rsid w:val="00526041"/>
    <w:rsid w:val="0052605B"/>
    <w:rsid w:val="00526C2C"/>
    <w:rsid w:val="00526EAC"/>
    <w:rsid w:val="00526F06"/>
    <w:rsid w:val="00527367"/>
    <w:rsid w:val="00527626"/>
    <w:rsid w:val="00527826"/>
    <w:rsid w:val="00527A4B"/>
    <w:rsid w:val="00527AA1"/>
    <w:rsid w:val="00527DDA"/>
    <w:rsid w:val="00530077"/>
    <w:rsid w:val="0053021F"/>
    <w:rsid w:val="0053070F"/>
    <w:rsid w:val="00530A99"/>
    <w:rsid w:val="00531404"/>
    <w:rsid w:val="00531611"/>
    <w:rsid w:val="0053199C"/>
    <w:rsid w:val="005319B4"/>
    <w:rsid w:val="005324D3"/>
    <w:rsid w:val="00532618"/>
    <w:rsid w:val="005326DF"/>
    <w:rsid w:val="00532CA2"/>
    <w:rsid w:val="00532D04"/>
    <w:rsid w:val="00532EA5"/>
    <w:rsid w:val="00533940"/>
    <w:rsid w:val="0053398F"/>
    <w:rsid w:val="00533A09"/>
    <w:rsid w:val="00533C7F"/>
    <w:rsid w:val="005345E9"/>
    <w:rsid w:val="00534DD0"/>
    <w:rsid w:val="00534EE6"/>
    <w:rsid w:val="00534F47"/>
    <w:rsid w:val="0053502E"/>
    <w:rsid w:val="0053507E"/>
    <w:rsid w:val="005355C8"/>
    <w:rsid w:val="00535EE2"/>
    <w:rsid w:val="00535F8C"/>
    <w:rsid w:val="005367CB"/>
    <w:rsid w:val="00536A29"/>
    <w:rsid w:val="00536B8D"/>
    <w:rsid w:val="00536C67"/>
    <w:rsid w:val="0053718C"/>
    <w:rsid w:val="00537322"/>
    <w:rsid w:val="00537710"/>
    <w:rsid w:val="00537ACB"/>
    <w:rsid w:val="00537B98"/>
    <w:rsid w:val="00537EC4"/>
    <w:rsid w:val="00537FBE"/>
    <w:rsid w:val="005402A5"/>
    <w:rsid w:val="00540522"/>
    <w:rsid w:val="00540A0F"/>
    <w:rsid w:val="00540F84"/>
    <w:rsid w:val="0054158D"/>
    <w:rsid w:val="0054168D"/>
    <w:rsid w:val="00541931"/>
    <w:rsid w:val="00541C71"/>
    <w:rsid w:val="005425AF"/>
    <w:rsid w:val="005426C7"/>
    <w:rsid w:val="0054270A"/>
    <w:rsid w:val="00542931"/>
    <w:rsid w:val="0054350D"/>
    <w:rsid w:val="00543575"/>
    <w:rsid w:val="00543EB5"/>
    <w:rsid w:val="00544348"/>
    <w:rsid w:val="00544451"/>
    <w:rsid w:val="0054452C"/>
    <w:rsid w:val="00545116"/>
    <w:rsid w:val="005455E0"/>
    <w:rsid w:val="005456F8"/>
    <w:rsid w:val="005459DA"/>
    <w:rsid w:val="0054634F"/>
    <w:rsid w:val="0054688D"/>
    <w:rsid w:val="00546999"/>
    <w:rsid w:val="00546ECA"/>
    <w:rsid w:val="00547868"/>
    <w:rsid w:val="00547CEB"/>
    <w:rsid w:val="00547DE2"/>
    <w:rsid w:val="0055019E"/>
    <w:rsid w:val="0055035B"/>
    <w:rsid w:val="00550DCB"/>
    <w:rsid w:val="00551182"/>
    <w:rsid w:val="005512CA"/>
    <w:rsid w:val="00551459"/>
    <w:rsid w:val="00551703"/>
    <w:rsid w:val="005518EF"/>
    <w:rsid w:val="00551C62"/>
    <w:rsid w:val="00551CA0"/>
    <w:rsid w:val="005521AC"/>
    <w:rsid w:val="00552669"/>
    <w:rsid w:val="005533F1"/>
    <w:rsid w:val="005536A8"/>
    <w:rsid w:val="00553AAF"/>
    <w:rsid w:val="00553F01"/>
    <w:rsid w:val="005543D7"/>
    <w:rsid w:val="005545E4"/>
    <w:rsid w:val="005545F4"/>
    <w:rsid w:val="005546DF"/>
    <w:rsid w:val="0055471A"/>
    <w:rsid w:val="00554827"/>
    <w:rsid w:val="00554A45"/>
    <w:rsid w:val="00554B89"/>
    <w:rsid w:val="00554F17"/>
    <w:rsid w:val="00555498"/>
    <w:rsid w:val="0055577A"/>
    <w:rsid w:val="005558FA"/>
    <w:rsid w:val="00555DE6"/>
    <w:rsid w:val="00555F2C"/>
    <w:rsid w:val="00556948"/>
    <w:rsid w:val="00556991"/>
    <w:rsid w:val="005569A4"/>
    <w:rsid w:val="00556D96"/>
    <w:rsid w:val="005571F3"/>
    <w:rsid w:val="00560402"/>
    <w:rsid w:val="00560569"/>
    <w:rsid w:val="00560A25"/>
    <w:rsid w:val="005618B9"/>
    <w:rsid w:val="00561A24"/>
    <w:rsid w:val="00562521"/>
    <w:rsid w:val="00562657"/>
    <w:rsid w:val="0056293C"/>
    <w:rsid w:val="00562C08"/>
    <w:rsid w:val="00562E31"/>
    <w:rsid w:val="00562FF4"/>
    <w:rsid w:val="005631A6"/>
    <w:rsid w:val="00563202"/>
    <w:rsid w:val="005637B9"/>
    <w:rsid w:val="0056387C"/>
    <w:rsid w:val="005639B9"/>
    <w:rsid w:val="0056465A"/>
    <w:rsid w:val="00564D91"/>
    <w:rsid w:val="00564EB1"/>
    <w:rsid w:val="00565566"/>
    <w:rsid w:val="0056575C"/>
    <w:rsid w:val="00565BA1"/>
    <w:rsid w:val="00565CDB"/>
    <w:rsid w:val="00565CF1"/>
    <w:rsid w:val="00565DD2"/>
    <w:rsid w:val="00566179"/>
    <w:rsid w:val="0056676D"/>
    <w:rsid w:val="00566A32"/>
    <w:rsid w:val="0056781C"/>
    <w:rsid w:val="00567CBE"/>
    <w:rsid w:val="00570046"/>
    <w:rsid w:val="005701F1"/>
    <w:rsid w:val="00570417"/>
    <w:rsid w:val="00570439"/>
    <w:rsid w:val="0057156C"/>
    <w:rsid w:val="005718E2"/>
    <w:rsid w:val="00572D4E"/>
    <w:rsid w:val="005733D5"/>
    <w:rsid w:val="0057353D"/>
    <w:rsid w:val="00573564"/>
    <w:rsid w:val="0057409D"/>
    <w:rsid w:val="00574151"/>
    <w:rsid w:val="00574599"/>
    <w:rsid w:val="005746FE"/>
    <w:rsid w:val="00574742"/>
    <w:rsid w:val="00574AA9"/>
    <w:rsid w:val="00574AE7"/>
    <w:rsid w:val="00574BB7"/>
    <w:rsid w:val="00574FB0"/>
    <w:rsid w:val="00575AC0"/>
    <w:rsid w:val="00575B73"/>
    <w:rsid w:val="00576158"/>
    <w:rsid w:val="0057703C"/>
    <w:rsid w:val="00577182"/>
    <w:rsid w:val="00577885"/>
    <w:rsid w:val="005803E0"/>
    <w:rsid w:val="00580875"/>
    <w:rsid w:val="00580F7B"/>
    <w:rsid w:val="0058115C"/>
    <w:rsid w:val="00581220"/>
    <w:rsid w:val="00581279"/>
    <w:rsid w:val="00581678"/>
    <w:rsid w:val="00581EDE"/>
    <w:rsid w:val="00581F59"/>
    <w:rsid w:val="00581FCA"/>
    <w:rsid w:val="0058213A"/>
    <w:rsid w:val="00582390"/>
    <w:rsid w:val="0058267A"/>
    <w:rsid w:val="00582AF7"/>
    <w:rsid w:val="00583043"/>
    <w:rsid w:val="00583157"/>
    <w:rsid w:val="005838E7"/>
    <w:rsid w:val="00583CC4"/>
    <w:rsid w:val="005840E5"/>
    <w:rsid w:val="00584444"/>
    <w:rsid w:val="005847E1"/>
    <w:rsid w:val="00585BDC"/>
    <w:rsid w:val="00585D01"/>
    <w:rsid w:val="005865EA"/>
    <w:rsid w:val="00586D9E"/>
    <w:rsid w:val="00586F77"/>
    <w:rsid w:val="005877BB"/>
    <w:rsid w:val="00587E1B"/>
    <w:rsid w:val="00590082"/>
    <w:rsid w:val="005902D8"/>
    <w:rsid w:val="00590B56"/>
    <w:rsid w:val="00590DA5"/>
    <w:rsid w:val="0059108B"/>
    <w:rsid w:val="00591211"/>
    <w:rsid w:val="005914A7"/>
    <w:rsid w:val="0059180B"/>
    <w:rsid w:val="00591A64"/>
    <w:rsid w:val="00591C6A"/>
    <w:rsid w:val="005920F0"/>
    <w:rsid w:val="00592555"/>
    <w:rsid w:val="00592CC1"/>
    <w:rsid w:val="00592E0A"/>
    <w:rsid w:val="00592FC0"/>
    <w:rsid w:val="0059382F"/>
    <w:rsid w:val="00593C6A"/>
    <w:rsid w:val="00593D56"/>
    <w:rsid w:val="00593F97"/>
    <w:rsid w:val="00594333"/>
    <w:rsid w:val="0059440B"/>
    <w:rsid w:val="00594ABE"/>
    <w:rsid w:val="00594DFE"/>
    <w:rsid w:val="00594EE8"/>
    <w:rsid w:val="00594EF2"/>
    <w:rsid w:val="005954E5"/>
    <w:rsid w:val="00595616"/>
    <w:rsid w:val="00595BF3"/>
    <w:rsid w:val="00595CAD"/>
    <w:rsid w:val="00596264"/>
    <w:rsid w:val="005965F2"/>
    <w:rsid w:val="005967AC"/>
    <w:rsid w:val="0059686E"/>
    <w:rsid w:val="00596BDC"/>
    <w:rsid w:val="00596F26"/>
    <w:rsid w:val="00596FBC"/>
    <w:rsid w:val="00597369"/>
    <w:rsid w:val="0059763B"/>
    <w:rsid w:val="005978C5"/>
    <w:rsid w:val="00597B37"/>
    <w:rsid w:val="00597FBF"/>
    <w:rsid w:val="005A008F"/>
    <w:rsid w:val="005A0960"/>
    <w:rsid w:val="005A09BD"/>
    <w:rsid w:val="005A0A2A"/>
    <w:rsid w:val="005A0BAB"/>
    <w:rsid w:val="005A0FB4"/>
    <w:rsid w:val="005A15B4"/>
    <w:rsid w:val="005A16F1"/>
    <w:rsid w:val="005A186A"/>
    <w:rsid w:val="005A19AC"/>
    <w:rsid w:val="005A1DE4"/>
    <w:rsid w:val="005A2191"/>
    <w:rsid w:val="005A2294"/>
    <w:rsid w:val="005A2A32"/>
    <w:rsid w:val="005A2DBF"/>
    <w:rsid w:val="005A2E4C"/>
    <w:rsid w:val="005A37B7"/>
    <w:rsid w:val="005A3AC0"/>
    <w:rsid w:val="005A3EE1"/>
    <w:rsid w:val="005A4328"/>
    <w:rsid w:val="005A4E08"/>
    <w:rsid w:val="005A4F0A"/>
    <w:rsid w:val="005A5180"/>
    <w:rsid w:val="005A5224"/>
    <w:rsid w:val="005A5940"/>
    <w:rsid w:val="005A5C5E"/>
    <w:rsid w:val="005A5DA9"/>
    <w:rsid w:val="005A65F7"/>
    <w:rsid w:val="005A7127"/>
    <w:rsid w:val="005A7183"/>
    <w:rsid w:val="005A7C6B"/>
    <w:rsid w:val="005B0347"/>
    <w:rsid w:val="005B089D"/>
    <w:rsid w:val="005B0BDE"/>
    <w:rsid w:val="005B0E2B"/>
    <w:rsid w:val="005B0FDA"/>
    <w:rsid w:val="005B10D5"/>
    <w:rsid w:val="005B12BF"/>
    <w:rsid w:val="005B186B"/>
    <w:rsid w:val="005B1DC6"/>
    <w:rsid w:val="005B2430"/>
    <w:rsid w:val="005B2857"/>
    <w:rsid w:val="005B2E87"/>
    <w:rsid w:val="005B2FBB"/>
    <w:rsid w:val="005B2FCA"/>
    <w:rsid w:val="005B3181"/>
    <w:rsid w:val="005B341D"/>
    <w:rsid w:val="005B3A59"/>
    <w:rsid w:val="005B3C61"/>
    <w:rsid w:val="005B3D60"/>
    <w:rsid w:val="005B4354"/>
    <w:rsid w:val="005B43E3"/>
    <w:rsid w:val="005B454D"/>
    <w:rsid w:val="005B56EA"/>
    <w:rsid w:val="005B5CF4"/>
    <w:rsid w:val="005B6A10"/>
    <w:rsid w:val="005B7224"/>
    <w:rsid w:val="005B74C6"/>
    <w:rsid w:val="005C0AEA"/>
    <w:rsid w:val="005C0E26"/>
    <w:rsid w:val="005C19CF"/>
    <w:rsid w:val="005C1E9D"/>
    <w:rsid w:val="005C2670"/>
    <w:rsid w:val="005C2886"/>
    <w:rsid w:val="005C2FF0"/>
    <w:rsid w:val="005C316B"/>
    <w:rsid w:val="005C33E5"/>
    <w:rsid w:val="005C3D00"/>
    <w:rsid w:val="005C4657"/>
    <w:rsid w:val="005C4685"/>
    <w:rsid w:val="005C4ACF"/>
    <w:rsid w:val="005C4B84"/>
    <w:rsid w:val="005C4F70"/>
    <w:rsid w:val="005C50B7"/>
    <w:rsid w:val="005C5949"/>
    <w:rsid w:val="005C614A"/>
    <w:rsid w:val="005C6A97"/>
    <w:rsid w:val="005C750F"/>
    <w:rsid w:val="005C78E3"/>
    <w:rsid w:val="005C7AA5"/>
    <w:rsid w:val="005C7BF6"/>
    <w:rsid w:val="005D009D"/>
    <w:rsid w:val="005D023C"/>
    <w:rsid w:val="005D0E62"/>
    <w:rsid w:val="005D1D05"/>
    <w:rsid w:val="005D1FC2"/>
    <w:rsid w:val="005D319E"/>
    <w:rsid w:val="005D3DD5"/>
    <w:rsid w:val="005D3EFB"/>
    <w:rsid w:val="005D4871"/>
    <w:rsid w:val="005D50FB"/>
    <w:rsid w:val="005D5C4E"/>
    <w:rsid w:val="005D5D86"/>
    <w:rsid w:val="005D7369"/>
    <w:rsid w:val="005D7453"/>
    <w:rsid w:val="005E0063"/>
    <w:rsid w:val="005E02F5"/>
    <w:rsid w:val="005E044D"/>
    <w:rsid w:val="005E0663"/>
    <w:rsid w:val="005E06FD"/>
    <w:rsid w:val="005E0936"/>
    <w:rsid w:val="005E0EF2"/>
    <w:rsid w:val="005E1095"/>
    <w:rsid w:val="005E1948"/>
    <w:rsid w:val="005E1A22"/>
    <w:rsid w:val="005E2492"/>
    <w:rsid w:val="005E2697"/>
    <w:rsid w:val="005E2DFA"/>
    <w:rsid w:val="005E3679"/>
    <w:rsid w:val="005E387A"/>
    <w:rsid w:val="005E3AC9"/>
    <w:rsid w:val="005E43E2"/>
    <w:rsid w:val="005E44A1"/>
    <w:rsid w:val="005E48F9"/>
    <w:rsid w:val="005E5359"/>
    <w:rsid w:val="005E5384"/>
    <w:rsid w:val="005E5534"/>
    <w:rsid w:val="005E5688"/>
    <w:rsid w:val="005E64C8"/>
    <w:rsid w:val="005E65F9"/>
    <w:rsid w:val="005E67D9"/>
    <w:rsid w:val="005E6EA7"/>
    <w:rsid w:val="005E7177"/>
    <w:rsid w:val="005E7AF9"/>
    <w:rsid w:val="005F08B0"/>
    <w:rsid w:val="005F0E34"/>
    <w:rsid w:val="005F122E"/>
    <w:rsid w:val="005F1489"/>
    <w:rsid w:val="005F1BD2"/>
    <w:rsid w:val="005F3E94"/>
    <w:rsid w:val="005F4196"/>
    <w:rsid w:val="005F44C9"/>
    <w:rsid w:val="005F4778"/>
    <w:rsid w:val="005F4864"/>
    <w:rsid w:val="005F4927"/>
    <w:rsid w:val="005F5194"/>
    <w:rsid w:val="005F59D1"/>
    <w:rsid w:val="005F5A7C"/>
    <w:rsid w:val="005F6055"/>
    <w:rsid w:val="005F63F2"/>
    <w:rsid w:val="005F6493"/>
    <w:rsid w:val="005F6615"/>
    <w:rsid w:val="005F67BE"/>
    <w:rsid w:val="005F67D9"/>
    <w:rsid w:val="005F6B50"/>
    <w:rsid w:val="005F7423"/>
    <w:rsid w:val="005F74F2"/>
    <w:rsid w:val="005F7965"/>
    <w:rsid w:val="005F7BF7"/>
    <w:rsid w:val="0060087E"/>
    <w:rsid w:val="00600B2F"/>
    <w:rsid w:val="00601276"/>
    <w:rsid w:val="006015CF"/>
    <w:rsid w:val="0060170D"/>
    <w:rsid w:val="006018C1"/>
    <w:rsid w:val="00601A97"/>
    <w:rsid w:val="0060240B"/>
    <w:rsid w:val="00602DC8"/>
    <w:rsid w:val="00602DE2"/>
    <w:rsid w:val="006030D0"/>
    <w:rsid w:val="00603B57"/>
    <w:rsid w:val="00603D56"/>
    <w:rsid w:val="006045C4"/>
    <w:rsid w:val="00604F62"/>
    <w:rsid w:val="00605066"/>
    <w:rsid w:val="00605418"/>
    <w:rsid w:val="00605FEC"/>
    <w:rsid w:val="006061C5"/>
    <w:rsid w:val="00606659"/>
    <w:rsid w:val="0060681A"/>
    <w:rsid w:val="00606C11"/>
    <w:rsid w:val="00607052"/>
    <w:rsid w:val="00607142"/>
    <w:rsid w:val="006073C1"/>
    <w:rsid w:val="00610327"/>
    <w:rsid w:val="00610BCC"/>
    <w:rsid w:val="0061104B"/>
    <w:rsid w:val="00611768"/>
    <w:rsid w:val="006119D2"/>
    <w:rsid w:val="00612236"/>
    <w:rsid w:val="0061273C"/>
    <w:rsid w:val="006131F5"/>
    <w:rsid w:val="006134BE"/>
    <w:rsid w:val="006136C2"/>
    <w:rsid w:val="006137D2"/>
    <w:rsid w:val="00613F46"/>
    <w:rsid w:val="00613F58"/>
    <w:rsid w:val="0061414F"/>
    <w:rsid w:val="006152DF"/>
    <w:rsid w:val="00615927"/>
    <w:rsid w:val="00615A77"/>
    <w:rsid w:val="00615BDF"/>
    <w:rsid w:val="00616357"/>
    <w:rsid w:val="006163C4"/>
    <w:rsid w:val="00616778"/>
    <w:rsid w:val="006171B0"/>
    <w:rsid w:val="00617253"/>
    <w:rsid w:val="0061734A"/>
    <w:rsid w:val="00617E42"/>
    <w:rsid w:val="00617F89"/>
    <w:rsid w:val="0062037B"/>
    <w:rsid w:val="006218DE"/>
    <w:rsid w:val="00621C65"/>
    <w:rsid w:val="00622B39"/>
    <w:rsid w:val="00622E45"/>
    <w:rsid w:val="006231A7"/>
    <w:rsid w:val="00623564"/>
    <w:rsid w:val="0062370A"/>
    <w:rsid w:val="00623B18"/>
    <w:rsid w:val="00623FCD"/>
    <w:rsid w:val="006240EB"/>
    <w:rsid w:val="00624243"/>
    <w:rsid w:val="00624750"/>
    <w:rsid w:val="006249FD"/>
    <w:rsid w:val="00624AC7"/>
    <w:rsid w:val="00624D1F"/>
    <w:rsid w:val="0062532A"/>
    <w:rsid w:val="0062565B"/>
    <w:rsid w:val="00625722"/>
    <w:rsid w:val="006258DD"/>
    <w:rsid w:val="00625F0D"/>
    <w:rsid w:val="00625F90"/>
    <w:rsid w:val="00625F9C"/>
    <w:rsid w:val="00625FE0"/>
    <w:rsid w:val="00626884"/>
    <w:rsid w:val="006268E9"/>
    <w:rsid w:val="0062763D"/>
    <w:rsid w:val="00627C5A"/>
    <w:rsid w:val="00627DE5"/>
    <w:rsid w:val="00630BF8"/>
    <w:rsid w:val="0063124D"/>
    <w:rsid w:val="00631962"/>
    <w:rsid w:val="00631F2A"/>
    <w:rsid w:val="00632DC2"/>
    <w:rsid w:val="0063326B"/>
    <w:rsid w:val="0063402A"/>
    <w:rsid w:val="00634194"/>
    <w:rsid w:val="00634BF6"/>
    <w:rsid w:val="00635C16"/>
    <w:rsid w:val="00636275"/>
    <w:rsid w:val="00636402"/>
    <w:rsid w:val="0063648A"/>
    <w:rsid w:val="006365F4"/>
    <w:rsid w:val="00636A9D"/>
    <w:rsid w:val="00636B7C"/>
    <w:rsid w:val="00636C53"/>
    <w:rsid w:val="00636D5F"/>
    <w:rsid w:val="00636F07"/>
    <w:rsid w:val="00637777"/>
    <w:rsid w:val="0063784E"/>
    <w:rsid w:val="00637B6F"/>
    <w:rsid w:val="006400D7"/>
    <w:rsid w:val="0064038F"/>
    <w:rsid w:val="00640B22"/>
    <w:rsid w:val="006413DB"/>
    <w:rsid w:val="00641440"/>
    <w:rsid w:val="00641504"/>
    <w:rsid w:val="006416D3"/>
    <w:rsid w:val="00642895"/>
    <w:rsid w:val="00642AB6"/>
    <w:rsid w:val="00642B58"/>
    <w:rsid w:val="00643B70"/>
    <w:rsid w:val="0064400F"/>
    <w:rsid w:val="00644493"/>
    <w:rsid w:val="0064482C"/>
    <w:rsid w:val="00644C70"/>
    <w:rsid w:val="00644E1C"/>
    <w:rsid w:val="0064548E"/>
    <w:rsid w:val="006455F0"/>
    <w:rsid w:val="006464E5"/>
    <w:rsid w:val="00646A19"/>
    <w:rsid w:val="00646F99"/>
    <w:rsid w:val="0065066D"/>
    <w:rsid w:val="00650AE4"/>
    <w:rsid w:val="00651EB1"/>
    <w:rsid w:val="006522C4"/>
    <w:rsid w:val="0065230E"/>
    <w:rsid w:val="006524DB"/>
    <w:rsid w:val="00652EE6"/>
    <w:rsid w:val="00653110"/>
    <w:rsid w:val="006533C4"/>
    <w:rsid w:val="006536EA"/>
    <w:rsid w:val="00653D8B"/>
    <w:rsid w:val="00653E82"/>
    <w:rsid w:val="006540F1"/>
    <w:rsid w:val="0065448B"/>
    <w:rsid w:val="006549FF"/>
    <w:rsid w:val="00654B5D"/>
    <w:rsid w:val="006554AF"/>
    <w:rsid w:val="00655584"/>
    <w:rsid w:val="006558BF"/>
    <w:rsid w:val="0065596C"/>
    <w:rsid w:val="00655996"/>
    <w:rsid w:val="00655D32"/>
    <w:rsid w:val="00656651"/>
    <w:rsid w:val="0065674D"/>
    <w:rsid w:val="00656F3D"/>
    <w:rsid w:val="0065717C"/>
    <w:rsid w:val="006571B7"/>
    <w:rsid w:val="006571FF"/>
    <w:rsid w:val="00657939"/>
    <w:rsid w:val="00657B8A"/>
    <w:rsid w:val="00657F9B"/>
    <w:rsid w:val="006600EC"/>
    <w:rsid w:val="0066010A"/>
    <w:rsid w:val="00661001"/>
    <w:rsid w:val="006610D1"/>
    <w:rsid w:val="006612CD"/>
    <w:rsid w:val="00662047"/>
    <w:rsid w:val="00662275"/>
    <w:rsid w:val="00662826"/>
    <w:rsid w:val="00662AE8"/>
    <w:rsid w:val="006630DB"/>
    <w:rsid w:val="00663710"/>
    <w:rsid w:val="00663D96"/>
    <w:rsid w:val="006641F2"/>
    <w:rsid w:val="006643F3"/>
    <w:rsid w:val="0066459C"/>
    <w:rsid w:val="0066480A"/>
    <w:rsid w:val="00664DAD"/>
    <w:rsid w:val="00665516"/>
    <w:rsid w:val="00665886"/>
    <w:rsid w:val="00665889"/>
    <w:rsid w:val="00666070"/>
    <w:rsid w:val="00667360"/>
    <w:rsid w:val="006700FB"/>
    <w:rsid w:val="00670CAB"/>
    <w:rsid w:val="00670EAB"/>
    <w:rsid w:val="00671457"/>
    <w:rsid w:val="00672520"/>
    <w:rsid w:val="006727D8"/>
    <w:rsid w:val="0067304F"/>
    <w:rsid w:val="006733EB"/>
    <w:rsid w:val="006735B1"/>
    <w:rsid w:val="0067364E"/>
    <w:rsid w:val="00673C5C"/>
    <w:rsid w:val="00673CA0"/>
    <w:rsid w:val="006744F2"/>
    <w:rsid w:val="0067451A"/>
    <w:rsid w:val="0067473A"/>
    <w:rsid w:val="006747DA"/>
    <w:rsid w:val="0067492F"/>
    <w:rsid w:val="00674D63"/>
    <w:rsid w:val="00675260"/>
    <w:rsid w:val="00675823"/>
    <w:rsid w:val="0067612C"/>
    <w:rsid w:val="006768E0"/>
    <w:rsid w:val="00676B2A"/>
    <w:rsid w:val="006776FA"/>
    <w:rsid w:val="00677A26"/>
    <w:rsid w:val="0068089F"/>
    <w:rsid w:val="00680B64"/>
    <w:rsid w:val="00680C57"/>
    <w:rsid w:val="00680E01"/>
    <w:rsid w:val="00680F68"/>
    <w:rsid w:val="0068100B"/>
    <w:rsid w:val="00681DD8"/>
    <w:rsid w:val="00681E96"/>
    <w:rsid w:val="00682067"/>
    <w:rsid w:val="006829EA"/>
    <w:rsid w:val="00682A6B"/>
    <w:rsid w:val="0068314C"/>
    <w:rsid w:val="006832AE"/>
    <w:rsid w:val="0068355A"/>
    <w:rsid w:val="006836D6"/>
    <w:rsid w:val="00683DCE"/>
    <w:rsid w:val="00684D6A"/>
    <w:rsid w:val="0068511C"/>
    <w:rsid w:val="006859CE"/>
    <w:rsid w:val="00685A16"/>
    <w:rsid w:val="00685AE7"/>
    <w:rsid w:val="00686B74"/>
    <w:rsid w:val="00686F1D"/>
    <w:rsid w:val="00687365"/>
    <w:rsid w:val="0068797D"/>
    <w:rsid w:val="00690279"/>
    <w:rsid w:val="006905B3"/>
    <w:rsid w:val="00690720"/>
    <w:rsid w:val="00691165"/>
    <w:rsid w:val="006919DE"/>
    <w:rsid w:val="00691A2A"/>
    <w:rsid w:val="00691BB1"/>
    <w:rsid w:val="00691E39"/>
    <w:rsid w:val="006922B2"/>
    <w:rsid w:val="00692A57"/>
    <w:rsid w:val="006935E5"/>
    <w:rsid w:val="006936E1"/>
    <w:rsid w:val="0069373B"/>
    <w:rsid w:val="00694120"/>
    <w:rsid w:val="006942FF"/>
    <w:rsid w:val="00694641"/>
    <w:rsid w:val="00694BD5"/>
    <w:rsid w:val="00695312"/>
    <w:rsid w:val="0069558F"/>
    <w:rsid w:val="00695C36"/>
    <w:rsid w:val="00695D3C"/>
    <w:rsid w:val="00695F7E"/>
    <w:rsid w:val="00696AB4"/>
    <w:rsid w:val="00696AC7"/>
    <w:rsid w:val="00696D2B"/>
    <w:rsid w:val="006971F6"/>
    <w:rsid w:val="006973CC"/>
    <w:rsid w:val="0069755F"/>
    <w:rsid w:val="0069757B"/>
    <w:rsid w:val="00697ABA"/>
    <w:rsid w:val="006A082A"/>
    <w:rsid w:val="006A0BFA"/>
    <w:rsid w:val="006A2204"/>
    <w:rsid w:val="006A25DB"/>
    <w:rsid w:val="006A2673"/>
    <w:rsid w:val="006A35C4"/>
    <w:rsid w:val="006A36AE"/>
    <w:rsid w:val="006A3B24"/>
    <w:rsid w:val="006A4297"/>
    <w:rsid w:val="006A4C44"/>
    <w:rsid w:val="006A4ED5"/>
    <w:rsid w:val="006A5241"/>
    <w:rsid w:val="006A5495"/>
    <w:rsid w:val="006A5944"/>
    <w:rsid w:val="006A605E"/>
    <w:rsid w:val="006A6209"/>
    <w:rsid w:val="006A6307"/>
    <w:rsid w:val="006A65B5"/>
    <w:rsid w:val="006A69DC"/>
    <w:rsid w:val="006A6AF4"/>
    <w:rsid w:val="006A6DC0"/>
    <w:rsid w:val="006A6FE8"/>
    <w:rsid w:val="006A70E0"/>
    <w:rsid w:val="006A7278"/>
    <w:rsid w:val="006A7651"/>
    <w:rsid w:val="006A770B"/>
    <w:rsid w:val="006A795C"/>
    <w:rsid w:val="006A7A84"/>
    <w:rsid w:val="006B0065"/>
    <w:rsid w:val="006B0C2A"/>
    <w:rsid w:val="006B14FF"/>
    <w:rsid w:val="006B16DE"/>
    <w:rsid w:val="006B1AAD"/>
    <w:rsid w:val="006B2086"/>
    <w:rsid w:val="006B2583"/>
    <w:rsid w:val="006B2F7D"/>
    <w:rsid w:val="006B3918"/>
    <w:rsid w:val="006B3B90"/>
    <w:rsid w:val="006B3CC9"/>
    <w:rsid w:val="006B3DC1"/>
    <w:rsid w:val="006B4FC1"/>
    <w:rsid w:val="006B5146"/>
    <w:rsid w:val="006B6DE6"/>
    <w:rsid w:val="006B6F27"/>
    <w:rsid w:val="006B733C"/>
    <w:rsid w:val="006B75B7"/>
    <w:rsid w:val="006B7A20"/>
    <w:rsid w:val="006B7EDC"/>
    <w:rsid w:val="006B7F57"/>
    <w:rsid w:val="006C00F1"/>
    <w:rsid w:val="006C07D6"/>
    <w:rsid w:val="006C0A1D"/>
    <w:rsid w:val="006C1248"/>
    <w:rsid w:val="006C1E4E"/>
    <w:rsid w:val="006C2315"/>
    <w:rsid w:val="006C241D"/>
    <w:rsid w:val="006C262A"/>
    <w:rsid w:val="006C264A"/>
    <w:rsid w:val="006C2F38"/>
    <w:rsid w:val="006C3535"/>
    <w:rsid w:val="006C3AEE"/>
    <w:rsid w:val="006C3FB9"/>
    <w:rsid w:val="006C4659"/>
    <w:rsid w:val="006C49D7"/>
    <w:rsid w:val="006C5122"/>
    <w:rsid w:val="006C578B"/>
    <w:rsid w:val="006C59DE"/>
    <w:rsid w:val="006C5EA3"/>
    <w:rsid w:val="006C6730"/>
    <w:rsid w:val="006C6A86"/>
    <w:rsid w:val="006C6C31"/>
    <w:rsid w:val="006C6C6E"/>
    <w:rsid w:val="006C6CF9"/>
    <w:rsid w:val="006C75F8"/>
    <w:rsid w:val="006C7E86"/>
    <w:rsid w:val="006D00B0"/>
    <w:rsid w:val="006D018C"/>
    <w:rsid w:val="006D0218"/>
    <w:rsid w:val="006D0546"/>
    <w:rsid w:val="006D05F7"/>
    <w:rsid w:val="006D06FD"/>
    <w:rsid w:val="006D0AE5"/>
    <w:rsid w:val="006D0C9B"/>
    <w:rsid w:val="006D0ED5"/>
    <w:rsid w:val="006D112C"/>
    <w:rsid w:val="006D190A"/>
    <w:rsid w:val="006D1D1A"/>
    <w:rsid w:val="006D1DCC"/>
    <w:rsid w:val="006D1E20"/>
    <w:rsid w:val="006D1ECF"/>
    <w:rsid w:val="006D1FCC"/>
    <w:rsid w:val="006D231E"/>
    <w:rsid w:val="006D24D8"/>
    <w:rsid w:val="006D3D43"/>
    <w:rsid w:val="006D48C7"/>
    <w:rsid w:val="006D4F15"/>
    <w:rsid w:val="006D5060"/>
    <w:rsid w:val="006D50BA"/>
    <w:rsid w:val="006D5787"/>
    <w:rsid w:val="006D59A8"/>
    <w:rsid w:val="006D671B"/>
    <w:rsid w:val="006D6D6C"/>
    <w:rsid w:val="006D6FDD"/>
    <w:rsid w:val="006E01EE"/>
    <w:rsid w:val="006E03F8"/>
    <w:rsid w:val="006E0D03"/>
    <w:rsid w:val="006E0D55"/>
    <w:rsid w:val="006E0DBD"/>
    <w:rsid w:val="006E0E64"/>
    <w:rsid w:val="006E1196"/>
    <w:rsid w:val="006E1566"/>
    <w:rsid w:val="006E159E"/>
    <w:rsid w:val="006E16A7"/>
    <w:rsid w:val="006E16D6"/>
    <w:rsid w:val="006E1F57"/>
    <w:rsid w:val="006E2683"/>
    <w:rsid w:val="006E26F0"/>
    <w:rsid w:val="006E2734"/>
    <w:rsid w:val="006E2B30"/>
    <w:rsid w:val="006E2D0C"/>
    <w:rsid w:val="006E3512"/>
    <w:rsid w:val="006E364A"/>
    <w:rsid w:val="006E3B07"/>
    <w:rsid w:val="006E4182"/>
    <w:rsid w:val="006E45BC"/>
    <w:rsid w:val="006E4646"/>
    <w:rsid w:val="006E46A3"/>
    <w:rsid w:val="006E47C1"/>
    <w:rsid w:val="006E4F17"/>
    <w:rsid w:val="006E6443"/>
    <w:rsid w:val="006E644A"/>
    <w:rsid w:val="006E655F"/>
    <w:rsid w:val="006E65CA"/>
    <w:rsid w:val="006E6BF4"/>
    <w:rsid w:val="006E6FEA"/>
    <w:rsid w:val="006E723F"/>
    <w:rsid w:val="006E789D"/>
    <w:rsid w:val="006E7CC6"/>
    <w:rsid w:val="006F0551"/>
    <w:rsid w:val="006F0DF0"/>
    <w:rsid w:val="006F0F30"/>
    <w:rsid w:val="006F0FCF"/>
    <w:rsid w:val="006F1124"/>
    <w:rsid w:val="006F16AA"/>
    <w:rsid w:val="006F17E5"/>
    <w:rsid w:val="006F1B16"/>
    <w:rsid w:val="006F1C86"/>
    <w:rsid w:val="006F27FA"/>
    <w:rsid w:val="006F330E"/>
    <w:rsid w:val="006F33E6"/>
    <w:rsid w:val="006F3575"/>
    <w:rsid w:val="006F5052"/>
    <w:rsid w:val="006F50A4"/>
    <w:rsid w:val="006F5222"/>
    <w:rsid w:val="006F54E2"/>
    <w:rsid w:val="006F55FD"/>
    <w:rsid w:val="006F5B20"/>
    <w:rsid w:val="006F6512"/>
    <w:rsid w:val="006F6D01"/>
    <w:rsid w:val="006F7C1A"/>
    <w:rsid w:val="00700199"/>
    <w:rsid w:val="007001C7"/>
    <w:rsid w:val="007002E5"/>
    <w:rsid w:val="00700BF6"/>
    <w:rsid w:val="00700D08"/>
    <w:rsid w:val="007012BC"/>
    <w:rsid w:val="007015B1"/>
    <w:rsid w:val="00701941"/>
    <w:rsid w:val="00701974"/>
    <w:rsid w:val="00701CC0"/>
    <w:rsid w:val="00701D10"/>
    <w:rsid w:val="00701D2A"/>
    <w:rsid w:val="00701ED7"/>
    <w:rsid w:val="0070218D"/>
    <w:rsid w:val="0070285F"/>
    <w:rsid w:val="0070294A"/>
    <w:rsid w:val="00702A93"/>
    <w:rsid w:val="00702AD6"/>
    <w:rsid w:val="00702E03"/>
    <w:rsid w:val="00702EA0"/>
    <w:rsid w:val="00703465"/>
    <w:rsid w:val="007042F0"/>
    <w:rsid w:val="00704DF9"/>
    <w:rsid w:val="00704FF8"/>
    <w:rsid w:val="00705BBB"/>
    <w:rsid w:val="00706175"/>
    <w:rsid w:val="00706716"/>
    <w:rsid w:val="00706AB4"/>
    <w:rsid w:val="00706C30"/>
    <w:rsid w:val="00706DCB"/>
    <w:rsid w:val="0070738C"/>
    <w:rsid w:val="007076CC"/>
    <w:rsid w:val="00707A54"/>
    <w:rsid w:val="00707B40"/>
    <w:rsid w:val="00707CE7"/>
    <w:rsid w:val="00707F5B"/>
    <w:rsid w:val="0071056E"/>
    <w:rsid w:val="00710604"/>
    <w:rsid w:val="00710A5E"/>
    <w:rsid w:val="00710B1A"/>
    <w:rsid w:val="00710E84"/>
    <w:rsid w:val="00711024"/>
    <w:rsid w:val="0071126A"/>
    <w:rsid w:val="007115A1"/>
    <w:rsid w:val="00711726"/>
    <w:rsid w:val="00711DB3"/>
    <w:rsid w:val="00712009"/>
    <w:rsid w:val="007120D3"/>
    <w:rsid w:val="00712AD8"/>
    <w:rsid w:val="00712D1C"/>
    <w:rsid w:val="0071312B"/>
    <w:rsid w:val="007131BF"/>
    <w:rsid w:val="0071334E"/>
    <w:rsid w:val="00713487"/>
    <w:rsid w:val="007136A6"/>
    <w:rsid w:val="00713AE6"/>
    <w:rsid w:val="00714086"/>
    <w:rsid w:val="00714F86"/>
    <w:rsid w:val="0071600D"/>
    <w:rsid w:val="0071664C"/>
    <w:rsid w:val="0071676A"/>
    <w:rsid w:val="00716A1F"/>
    <w:rsid w:val="00716C30"/>
    <w:rsid w:val="00716D9B"/>
    <w:rsid w:val="00716FFF"/>
    <w:rsid w:val="00717724"/>
    <w:rsid w:val="007177CD"/>
    <w:rsid w:val="00717BF5"/>
    <w:rsid w:val="00717C86"/>
    <w:rsid w:val="00717D40"/>
    <w:rsid w:val="00717F1E"/>
    <w:rsid w:val="00717F3C"/>
    <w:rsid w:val="0072049C"/>
    <w:rsid w:val="0072079C"/>
    <w:rsid w:val="00720C3A"/>
    <w:rsid w:val="00720C42"/>
    <w:rsid w:val="00720C9E"/>
    <w:rsid w:val="00720FCC"/>
    <w:rsid w:val="007215FF"/>
    <w:rsid w:val="00721868"/>
    <w:rsid w:val="00721D3F"/>
    <w:rsid w:val="00722245"/>
    <w:rsid w:val="0072319A"/>
    <w:rsid w:val="007234F2"/>
    <w:rsid w:val="00723BFF"/>
    <w:rsid w:val="00723E79"/>
    <w:rsid w:val="00723F1B"/>
    <w:rsid w:val="00724203"/>
    <w:rsid w:val="00724720"/>
    <w:rsid w:val="007247ED"/>
    <w:rsid w:val="00724E40"/>
    <w:rsid w:val="00725396"/>
    <w:rsid w:val="007258D3"/>
    <w:rsid w:val="007258E2"/>
    <w:rsid w:val="00725AC1"/>
    <w:rsid w:val="00725BBA"/>
    <w:rsid w:val="00725DCF"/>
    <w:rsid w:val="00725FCD"/>
    <w:rsid w:val="0072656C"/>
    <w:rsid w:val="00726827"/>
    <w:rsid w:val="00726B30"/>
    <w:rsid w:val="007271D3"/>
    <w:rsid w:val="00727728"/>
    <w:rsid w:val="007279CF"/>
    <w:rsid w:val="00727AF6"/>
    <w:rsid w:val="007311C1"/>
    <w:rsid w:val="007313E1"/>
    <w:rsid w:val="007316BD"/>
    <w:rsid w:val="00731C67"/>
    <w:rsid w:val="00731CF7"/>
    <w:rsid w:val="0073252F"/>
    <w:rsid w:val="00732C9E"/>
    <w:rsid w:val="0073326F"/>
    <w:rsid w:val="00733279"/>
    <w:rsid w:val="007332F0"/>
    <w:rsid w:val="0073390C"/>
    <w:rsid w:val="00733AB0"/>
    <w:rsid w:val="00733ADD"/>
    <w:rsid w:val="00733B52"/>
    <w:rsid w:val="00733C3A"/>
    <w:rsid w:val="00733DEF"/>
    <w:rsid w:val="0073408E"/>
    <w:rsid w:val="007340A8"/>
    <w:rsid w:val="0073437A"/>
    <w:rsid w:val="0073555D"/>
    <w:rsid w:val="0073620D"/>
    <w:rsid w:val="00736A1A"/>
    <w:rsid w:val="00736FC3"/>
    <w:rsid w:val="00737390"/>
    <w:rsid w:val="007378AA"/>
    <w:rsid w:val="00737930"/>
    <w:rsid w:val="007379A4"/>
    <w:rsid w:val="00740374"/>
    <w:rsid w:val="00740AC6"/>
    <w:rsid w:val="00740CCA"/>
    <w:rsid w:val="00740CCB"/>
    <w:rsid w:val="00741279"/>
    <w:rsid w:val="0074134D"/>
    <w:rsid w:val="007415CC"/>
    <w:rsid w:val="007418BB"/>
    <w:rsid w:val="00741C5A"/>
    <w:rsid w:val="0074216B"/>
    <w:rsid w:val="007429EB"/>
    <w:rsid w:val="00743462"/>
    <w:rsid w:val="007437B4"/>
    <w:rsid w:val="00743A57"/>
    <w:rsid w:val="00743C9E"/>
    <w:rsid w:val="00743DC2"/>
    <w:rsid w:val="00743E26"/>
    <w:rsid w:val="00743F5F"/>
    <w:rsid w:val="00744AE0"/>
    <w:rsid w:val="00744CA4"/>
    <w:rsid w:val="00744D5F"/>
    <w:rsid w:val="00745BBB"/>
    <w:rsid w:val="0074604B"/>
    <w:rsid w:val="00746639"/>
    <w:rsid w:val="00746BD0"/>
    <w:rsid w:val="0074749A"/>
    <w:rsid w:val="0074749F"/>
    <w:rsid w:val="00747823"/>
    <w:rsid w:val="00747931"/>
    <w:rsid w:val="00747C71"/>
    <w:rsid w:val="00747CFE"/>
    <w:rsid w:val="00750ED1"/>
    <w:rsid w:val="00750FE5"/>
    <w:rsid w:val="00751608"/>
    <w:rsid w:val="00751C37"/>
    <w:rsid w:val="00751F30"/>
    <w:rsid w:val="007522B0"/>
    <w:rsid w:val="00752728"/>
    <w:rsid w:val="00752789"/>
    <w:rsid w:val="00752D95"/>
    <w:rsid w:val="00752F62"/>
    <w:rsid w:val="00754400"/>
    <w:rsid w:val="0075470E"/>
    <w:rsid w:val="00754A87"/>
    <w:rsid w:val="0075570C"/>
    <w:rsid w:val="00755CD9"/>
    <w:rsid w:val="00757206"/>
    <w:rsid w:val="0075731F"/>
    <w:rsid w:val="0075764E"/>
    <w:rsid w:val="0075796D"/>
    <w:rsid w:val="00757B47"/>
    <w:rsid w:val="00757E45"/>
    <w:rsid w:val="00761092"/>
    <w:rsid w:val="00761DFC"/>
    <w:rsid w:val="00761E55"/>
    <w:rsid w:val="00762046"/>
    <w:rsid w:val="007624E6"/>
    <w:rsid w:val="007626B3"/>
    <w:rsid w:val="00762AE9"/>
    <w:rsid w:val="00762CF6"/>
    <w:rsid w:val="00763BF8"/>
    <w:rsid w:val="00764CC9"/>
    <w:rsid w:val="0076514B"/>
    <w:rsid w:val="00765250"/>
    <w:rsid w:val="00765455"/>
    <w:rsid w:val="00765EF5"/>
    <w:rsid w:val="00765F29"/>
    <w:rsid w:val="007663FE"/>
    <w:rsid w:val="00766F63"/>
    <w:rsid w:val="00766FA1"/>
    <w:rsid w:val="00767811"/>
    <w:rsid w:val="00767CDF"/>
    <w:rsid w:val="00767F9B"/>
    <w:rsid w:val="00770963"/>
    <w:rsid w:val="007711A5"/>
    <w:rsid w:val="007711ED"/>
    <w:rsid w:val="007715DA"/>
    <w:rsid w:val="00771623"/>
    <w:rsid w:val="00771B14"/>
    <w:rsid w:val="00771C7C"/>
    <w:rsid w:val="0077262A"/>
    <w:rsid w:val="007728FD"/>
    <w:rsid w:val="00772A48"/>
    <w:rsid w:val="00772B6C"/>
    <w:rsid w:val="00772E5D"/>
    <w:rsid w:val="00773DBA"/>
    <w:rsid w:val="00773F21"/>
    <w:rsid w:val="00773FC6"/>
    <w:rsid w:val="00774333"/>
    <w:rsid w:val="0077490B"/>
    <w:rsid w:val="00774B58"/>
    <w:rsid w:val="00774F9D"/>
    <w:rsid w:val="00775AAB"/>
    <w:rsid w:val="00775ADB"/>
    <w:rsid w:val="00775E32"/>
    <w:rsid w:val="00776294"/>
    <w:rsid w:val="00776444"/>
    <w:rsid w:val="007764D6"/>
    <w:rsid w:val="007769F2"/>
    <w:rsid w:val="00776B31"/>
    <w:rsid w:val="007775B0"/>
    <w:rsid w:val="00777921"/>
    <w:rsid w:val="0078027C"/>
    <w:rsid w:val="00780DBA"/>
    <w:rsid w:val="00780DF9"/>
    <w:rsid w:val="00781513"/>
    <w:rsid w:val="00781920"/>
    <w:rsid w:val="00781EEA"/>
    <w:rsid w:val="00782B15"/>
    <w:rsid w:val="00782E64"/>
    <w:rsid w:val="00782EF1"/>
    <w:rsid w:val="00782FF9"/>
    <w:rsid w:val="0078315F"/>
    <w:rsid w:val="00783822"/>
    <w:rsid w:val="00783BB3"/>
    <w:rsid w:val="00783FE4"/>
    <w:rsid w:val="00784172"/>
    <w:rsid w:val="00784716"/>
    <w:rsid w:val="00784D34"/>
    <w:rsid w:val="007853A4"/>
    <w:rsid w:val="0078545D"/>
    <w:rsid w:val="007856C2"/>
    <w:rsid w:val="00785F21"/>
    <w:rsid w:val="007860A3"/>
    <w:rsid w:val="0078691B"/>
    <w:rsid w:val="00786BCE"/>
    <w:rsid w:val="0078718F"/>
    <w:rsid w:val="0078735F"/>
    <w:rsid w:val="00787775"/>
    <w:rsid w:val="00787EA0"/>
    <w:rsid w:val="0079000A"/>
    <w:rsid w:val="0079016F"/>
    <w:rsid w:val="007906AA"/>
    <w:rsid w:val="00790865"/>
    <w:rsid w:val="00790A94"/>
    <w:rsid w:val="007916DB"/>
    <w:rsid w:val="00792930"/>
    <w:rsid w:val="00794544"/>
    <w:rsid w:val="00795534"/>
    <w:rsid w:val="0079556A"/>
    <w:rsid w:val="00795D3F"/>
    <w:rsid w:val="007964C4"/>
    <w:rsid w:val="00796504"/>
    <w:rsid w:val="007966B1"/>
    <w:rsid w:val="007969D3"/>
    <w:rsid w:val="007969EB"/>
    <w:rsid w:val="007977C7"/>
    <w:rsid w:val="00797CC2"/>
    <w:rsid w:val="00797DCD"/>
    <w:rsid w:val="00797FE0"/>
    <w:rsid w:val="007A0309"/>
    <w:rsid w:val="007A06B1"/>
    <w:rsid w:val="007A0A94"/>
    <w:rsid w:val="007A1171"/>
    <w:rsid w:val="007A1471"/>
    <w:rsid w:val="007A181A"/>
    <w:rsid w:val="007A1C57"/>
    <w:rsid w:val="007A21F6"/>
    <w:rsid w:val="007A25FB"/>
    <w:rsid w:val="007A262C"/>
    <w:rsid w:val="007A289D"/>
    <w:rsid w:val="007A28F1"/>
    <w:rsid w:val="007A362B"/>
    <w:rsid w:val="007A38EB"/>
    <w:rsid w:val="007A4605"/>
    <w:rsid w:val="007A4C35"/>
    <w:rsid w:val="007A4EBC"/>
    <w:rsid w:val="007A50D8"/>
    <w:rsid w:val="007A52CA"/>
    <w:rsid w:val="007A5481"/>
    <w:rsid w:val="007A5D45"/>
    <w:rsid w:val="007A5F5F"/>
    <w:rsid w:val="007A691A"/>
    <w:rsid w:val="007A6AAA"/>
    <w:rsid w:val="007A6AC6"/>
    <w:rsid w:val="007A6B8E"/>
    <w:rsid w:val="007A7954"/>
    <w:rsid w:val="007B008F"/>
    <w:rsid w:val="007B0407"/>
    <w:rsid w:val="007B0801"/>
    <w:rsid w:val="007B0A16"/>
    <w:rsid w:val="007B1134"/>
    <w:rsid w:val="007B13AB"/>
    <w:rsid w:val="007B1AEB"/>
    <w:rsid w:val="007B1EB0"/>
    <w:rsid w:val="007B1FD8"/>
    <w:rsid w:val="007B22BD"/>
    <w:rsid w:val="007B2772"/>
    <w:rsid w:val="007B3660"/>
    <w:rsid w:val="007B3C40"/>
    <w:rsid w:val="007B4046"/>
    <w:rsid w:val="007B40A2"/>
    <w:rsid w:val="007B448A"/>
    <w:rsid w:val="007B46FA"/>
    <w:rsid w:val="007B4D24"/>
    <w:rsid w:val="007B4FCE"/>
    <w:rsid w:val="007B504A"/>
    <w:rsid w:val="007B5194"/>
    <w:rsid w:val="007B53E0"/>
    <w:rsid w:val="007B54A7"/>
    <w:rsid w:val="007B54D6"/>
    <w:rsid w:val="007B5536"/>
    <w:rsid w:val="007B5838"/>
    <w:rsid w:val="007B5994"/>
    <w:rsid w:val="007B59C8"/>
    <w:rsid w:val="007B6002"/>
    <w:rsid w:val="007B624B"/>
    <w:rsid w:val="007B63CD"/>
    <w:rsid w:val="007B6BAF"/>
    <w:rsid w:val="007B6EF3"/>
    <w:rsid w:val="007B7399"/>
    <w:rsid w:val="007B7407"/>
    <w:rsid w:val="007B7474"/>
    <w:rsid w:val="007B761C"/>
    <w:rsid w:val="007B7CCB"/>
    <w:rsid w:val="007B7D4A"/>
    <w:rsid w:val="007B7E7C"/>
    <w:rsid w:val="007C0661"/>
    <w:rsid w:val="007C0E76"/>
    <w:rsid w:val="007C1131"/>
    <w:rsid w:val="007C120B"/>
    <w:rsid w:val="007C148C"/>
    <w:rsid w:val="007C1718"/>
    <w:rsid w:val="007C207E"/>
    <w:rsid w:val="007C20C7"/>
    <w:rsid w:val="007C2828"/>
    <w:rsid w:val="007C2CA7"/>
    <w:rsid w:val="007C2CD3"/>
    <w:rsid w:val="007C2FB4"/>
    <w:rsid w:val="007C3648"/>
    <w:rsid w:val="007C3777"/>
    <w:rsid w:val="007C442A"/>
    <w:rsid w:val="007C443B"/>
    <w:rsid w:val="007C53BE"/>
    <w:rsid w:val="007C6506"/>
    <w:rsid w:val="007C6910"/>
    <w:rsid w:val="007C697D"/>
    <w:rsid w:val="007C725A"/>
    <w:rsid w:val="007C7537"/>
    <w:rsid w:val="007C7C64"/>
    <w:rsid w:val="007D089B"/>
    <w:rsid w:val="007D0935"/>
    <w:rsid w:val="007D0D21"/>
    <w:rsid w:val="007D0DF1"/>
    <w:rsid w:val="007D0EB9"/>
    <w:rsid w:val="007D13D6"/>
    <w:rsid w:val="007D1408"/>
    <w:rsid w:val="007D1499"/>
    <w:rsid w:val="007D16E3"/>
    <w:rsid w:val="007D1B86"/>
    <w:rsid w:val="007D1DB6"/>
    <w:rsid w:val="007D211B"/>
    <w:rsid w:val="007D237E"/>
    <w:rsid w:val="007D24A3"/>
    <w:rsid w:val="007D34AC"/>
    <w:rsid w:val="007D41C6"/>
    <w:rsid w:val="007D485D"/>
    <w:rsid w:val="007D4BF7"/>
    <w:rsid w:val="007D4EF5"/>
    <w:rsid w:val="007D509E"/>
    <w:rsid w:val="007D5204"/>
    <w:rsid w:val="007D56B1"/>
    <w:rsid w:val="007D5AA4"/>
    <w:rsid w:val="007D5B93"/>
    <w:rsid w:val="007D649C"/>
    <w:rsid w:val="007D6A99"/>
    <w:rsid w:val="007D6C9C"/>
    <w:rsid w:val="007D734F"/>
    <w:rsid w:val="007D7B8D"/>
    <w:rsid w:val="007D7CE2"/>
    <w:rsid w:val="007D7F43"/>
    <w:rsid w:val="007E0139"/>
    <w:rsid w:val="007E06DC"/>
    <w:rsid w:val="007E0C45"/>
    <w:rsid w:val="007E121A"/>
    <w:rsid w:val="007E1428"/>
    <w:rsid w:val="007E14C2"/>
    <w:rsid w:val="007E1554"/>
    <w:rsid w:val="007E1631"/>
    <w:rsid w:val="007E1C2F"/>
    <w:rsid w:val="007E1EBB"/>
    <w:rsid w:val="007E217B"/>
    <w:rsid w:val="007E25C9"/>
    <w:rsid w:val="007E26B0"/>
    <w:rsid w:val="007E3C9C"/>
    <w:rsid w:val="007E4452"/>
    <w:rsid w:val="007E4DAF"/>
    <w:rsid w:val="007E51F7"/>
    <w:rsid w:val="007E5B9C"/>
    <w:rsid w:val="007E5BDC"/>
    <w:rsid w:val="007E6293"/>
    <w:rsid w:val="007E672B"/>
    <w:rsid w:val="007E6B34"/>
    <w:rsid w:val="007E7799"/>
    <w:rsid w:val="007E79B2"/>
    <w:rsid w:val="007F03A9"/>
    <w:rsid w:val="007F04DA"/>
    <w:rsid w:val="007F06D7"/>
    <w:rsid w:val="007F0D7B"/>
    <w:rsid w:val="007F0EA9"/>
    <w:rsid w:val="007F0F1A"/>
    <w:rsid w:val="007F0FA4"/>
    <w:rsid w:val="007F12E1"/>
    <w:rsid w:val="007F1439"/>
    <w:rsid w:val="007F15D0"/>
    <w:rsid w:val="007F1788"/>
    <w:rsid w:val="007F1CFC"/>
    <w:rsid w:val="007F1D26"/>
    <w:rsid w:val="007F20B5"/>
    <w:rsid w:val="007F35FB"/>
    <w:rsid w:val="007F37B1"/>
    <w:rsid w:val="007F3979"/>
    <w:rsid w:val="007F406D"/>
    <w:rsid w:val="007F4103"/>
    <w:rsid w:val="007F4227"/>
    <w:rsid w:val="007F4858"/>
    <w:rsid w:val="007F4D34"/>
    <w:rsid w:val="007F51AB"/>
    <w:rsid w:val="007F51AF"/>
    <w:rsid w:val="007F5265"/>
    <w:rsid w:val="007F66FD"/>
    <w:rsid w:val="007F696C"/>
    <w:rsid w:val="007F6B15"/>
    <w:rsid w:val="007F6D96"/>
    <w:rsid w:val="007F70E7"/>
    <w:rsid w:val="007F779A"/>
    <w:rsid w:val="007F79C0"/>
    <w:rsid w:val="007F7A9E"/>
    <w:rsid w:val="007F7E54"/>
    <w:rsid w:val="007F7FAF"/>
    <w:rsid w:val="00800C98"/>
    <w:rsid w:val="00801093"/>
    <w:rsid w:val="00801632"/>
    <w:rsid w:val="00801AC8"/>
    <w:rsid w:val="00801C31"/>
    <w:rsid w:val="00801C4E"/>
    <w:rsid w:val="00801D42"/>
    <w:rsid w:val="008020C7"/>
    <w:rsid w:val="008021ED"/>
    <w:rsid w:val="008023BD"/>
    <w:rsid w:val="0080243B"/>
    <w:rsid w:val="00802830"/>
    <w:rsid w:val="00802A89"/>
    <w:rsid w:val="00802E91"/>
    <w:rsid w:val="00802F59"/>
    <w:rsid w:val="00803071"/>
    <w:rsid w:val="008031CF"/>
    <w:rsid w:val="00803471"/>
    <w:rsid w:val="00803B6A"/>
    <w:rsid w:val="00803B7B"/>
    <w:rsid w:val="00803C4B"/>
    <w:rsid w:val="008044C1"/>
    <w:rsid w:val="00804686"/>
    <w:rsid w:val="00804E21"/>
    <w:rsid w:val="00804F1E"/>
    <w:rsid w:val="0080533F"/>
    <w:rsid w:val="00805FFA"/>
    <w:rsid w:val="008069BE"/>
    <w:rsid w:val="00806C96"/>
    <w:rsid w:val="00807088"/>
    <w:rsid w:val="008075D6"/>
    <w:rsid w:val="0080776A"/>
    <w:rsid w:val="008077B5"/>
    <w:rsid w:val="00807BA6"/>
    <w:rsid w:val="008108EE"/>
    <w:rsid w:val="00810B9E"/>
    <w:rsid w:val="00811054"/>
    <w:rsid w:val="008113DB"/>
    <w:rsid w:val="00811736"/>
    <w:rsid w:val="00811757"/>
    <w:rsid w:val="00811880"/>
    <w:rsid w:val="00812284"/>
    <w:rsid w:val="008124A6"/>
    <w:rsid w:val="00812941"/>
    <w:rsid w:val="00813A9C"/>
    <w:rsid w:val="008143CB"/>
    <w:rsid w:val="00814A9F"/>
    <w:rsid w:val="00814BFA"/>
    <w:rsid w:val="00814D06"/>
    <w:rsid w:val="00814DBF"/>
    <w:rsid w:val="00815271"/>
    <w:rsid w:val="00815830"/>
    <w:rsid w:val="00815C44"/>
    <w:rsid w:val="00815CF3"/>
    <w:rsid w:val="00815DD4"/>
    <w:rsid w:val="00815FD8"/>
    <w:rsid w:val="008161D2"/>
    <w:rsid w:val="00816416"/>
    <w:rsid w:val="008164BB"/>
    <w:rsid w:val="00816548"/>
    <w:rsid w:val="0081684E"/>
    <w:rsid w:val="008169C9"/>
    <w:rsid w:val="00817596"/>
    <w:rsid w:val="00817868"/>
    <w:rsid w:val="00817A76"/>
    <w:rsid w:val="00820574"/>
    <w:rsid w:val="00820D4F"/>
    <w:rsid w:val="00821220"/>
    <w:rsid w:val="008213DB"/>
    <w:rsid w:val="00821441"/>
    <w:rsid w:val="00821514"/>
    <w:rsid w:val="008215CC"/>
    <w:rsid w:val="00821D51"/>
    <w:rsid w:val="00822023"/>
    <w:rsid w:val="0082279D"/>
    <w:rsid w:val="008228C1"/>
    <w:rsid w:val="008228CC"/>
    <w:rsid w:val="0082296D"/>
    <w:rsid w:val="00822B53"/>
    <w:rsid w:val="00822C5A"/>
    <w:rsid w:val="00823569"/>
    <w:rsid w:val="00823AEC"/>
    <w:rsid w:val="00823C50"/>
    <w:rsid w:val="00824183"/>
    <w:rsid w:val="008242E2"/>
    <w:rsid w:val="0082489D"/>
    <w:rsid w:val="008249E4"/>
    <w:rsid w:val="008253ED"/>
    <w:rsid w:val="00825478"/>
    <w:rsid w:val="00825530"/>
    <w:rsid w:val="00825CC2"/>
    <w:rsid w:val="00825E1A"/>
    <w:rsid w:val="00825E9F"/>
    <w:rsid w:val="008261CF"/>
    <w:rsid w:val="00826474"/>
    <w:rsid w:val="0082654A"/>
    <w:rsid w:val="00826DA9"/>
    <w:rsid w:val="008277B2"/>
    <w:rsid w:val="00827A0D"/>
    <w:rsid w:val="00827A94"/>
    <w:rsid w:val="00827B47"/>
    <w:rsid w:val="00827C42"/>
    <w:rsid w:val="00827CFD"/>
    <w:rsid w:val="00827E67"/>
    <w:rsid w:val="008303B6"/>
    <w:rsid w:val="0083041C"/>
    <w:rsid w:val="00830A6D"/>
    <w:rsid w:val="00831222"/>
    <w:rsid w:val="0083124E"/>
    <w:rsid w:val="0083148E"/>
    <w:rsid w:val="0083201A"/>
    <w:rsid w:val="00832122"/>
    <w:rsid w:val="00832BD3"/>
    <w:rsid w:val="00832E05"/>
    <w:rsid w:val="008333D1"/>
    <w:rsid w:val="0083373E"/>
    <w:rsid w:val="00833AE7"/>
    <w:rsid w:val="00833AF1"/>
    <w:rsid w:val="008340A6"/>
    <w:rsid w:val="00834899"/>
    <w:rsid w:val="00835107"/>
    <w:rsid w:val="00835307"/>
    <w:rsid w:val="0083534B"/>
    <w:rsid w:val="00835446"/>
    <w:rsid w:val="008355DF"/>
    <w:rsid w:val="008358E0"/>
    <w:rsid w:val="00835A51"/>
    <w:rsid w:val="00835D08"/>
    <w:rsid w:val="00835DC9"/>
    <w:rsid w:val="008361CB"/>
    <w:rsid w:val="008361D9"/>
    <w:rsid w:val="0083621E"/>
    <w:rsid w:val="0083694B"/>
    <w:rsid w:val="008369EC"/>
    <w:rsid w:val="00836AD6"/>
    <w:rsid w:val="00836B82"/>
    <w:rsid w:val="0083796E"/>
    <w:rsid w:val="00837B4B"/>
    <w:rsid w:val="008401C3"/>
    <w:rsid w:val="008404D9"/>
    <w:rsid w:val="00840CC2"/>
    <w:rsid w:val="00840D4A"/>
    <w:rsid w:val="0084109D"/>
    <w:rsid w:val="008417C7"/>
    <w:rsid w:val="0084189B"/>
    <w:rsid w:val="00841AC0"/>
    <w:rsid w:val="00841CBD"/>
    <w:rsid w:val="008420CF"/>
    <w:rsid w:val="00842768"/>
    <w:rsid w:val="00842DB9"/>
    <w:rsid w:val="008434D4"/>
    <w:rsid w:val="0084368E"/>
    <w:rsid w:val="00844351"/>
    <w:rsid w:val="008447E2"/>
    <w:rsid w:val="008458E2"/>
    <w:rsid w:val="00845E3D"/>
    <w:rsid w:val="00845F43"/>
    <w:rsid w:val="00845F53"/>
    <w:rsid w:val="008461F1"/>
    <w:rsid w:val="0084666F"/>
    <w:rsid w:val="00847D0A"/>
    <w:rsid w:val="00847F81"/>
    <w:rsid w:val="00850246"/>
    <w:rsid w:val="008503F3"/>
    <w:rsid w:val="0085090A"/>
    <w:rsid w:val="00850A5F"/>
    <w:rsid w:val="00851173"/>
    <w:rsid w:val="008511BC"/>
    <w:rsid w:val="00851C25"/>
    <w:rsid w:val="00852477"/>
    <w:rsid w:val="00852B79"/>
    <w:rsid w:val="00852D26"/>
    <w:rsid w:val="00852E0E"/>
    <w:rsid w:val="0085315A"/>
    <w:rsid w:val="008531F4"/>
    <w:rsid w:val="0085335B"/>
    <w:rsid w:val="0085359A"/>
    <w:rsid w:val="0085420F"/>
    <w:rsid w:val="00854670"/>
    <w:rsid w:val="00854E4F"/>
    <w:rsid w:val="00855639"/>
    <w:rsid w:val="008557CB"/>
    <w:rsid w:val="00855B0A"/>
    <w:rsid w:val="00856370"/>
    <w:rsid w:val="008567AC"/>
    <w:rsid w:val="00856BD8"/>
    <w:rsid w:val="00856FD8"/>
    <w:rsid w:val="00857199"/>
    <w:rsid w:val="00857267"/>
    <w:rsid w:val="008576B6"/>
    <w:rsid w:val="00857CF7"/>
    <w:rsid w:val="00857E18"/>
    <w:rsid w:val="00857FC2"/>
    <w:rsid w:val="00860085"/>
    <w:rsid w:val="008600ED"/>
    <w:rsid w:val="00860902"/>
    <w:rsid w:val="0086092F"/>
    <w:rsid w:val="0086094F"/>
    <w:rsid w:val="0086098A"/>
    <w:rsid w:val="00860BDA"/>
    <w:rsid w:val="00860F1A"/>
    <w:rsid w:val="00860F68"/>
    <w:rsid w:val="008610F0"/>
    <w:rsid w:val="0086116E"/>
    <w:rsid w:val="0086182B"/>
    <w:rsid w:val="008618F8"/>
    <w:rsid w:val="00861D19"/>
    <w:rsid w:val="00862416"/>
    <w:rsid w:val="00862533"/>
    <w:rsid w:val="0086264B"/>
    <w:rsid w:val="008626D7"/>
    <w:rsid w:val="008628F0"/>
    <w:rsid w:val="00863DA0"/>
    <w:rsid w:val="00864907"/>
    <w:rsid w:val="00864C88"/>
    <w:rsid w:val="00864D71"/>
    <w:rsid w:val="008650E6"/>
    <w:rsid w:val="008661EE"/>
    <w:rsid w:val="008666C8"/>
    <w:rsid w:val="0086678D"/>
    <w:rsid w:val="00867066"/>
    <w:rsid w:val="008672B9"/>
    <w:rsid w:val="00867439"/>
    <w:rsid w:val="008677B6"/>
    <w:rsid w:val="008679D9"/>
    <w:rsid w:val="00867A65"/>
    <w:rsid w:val="00867DF1"/>
    <w:rsid w:val="00870003"/>
    <w:rsid w:val="00870958"/>
    <w:rsid w:val="00870ABA"/>
    <w:rsid w:val="00870C18"/>
    <w:rsid w:val="00870C26"/>
    <w:rsid w:val="008714D5"/>
    <w:rsid w:val="00872057"/>
    <w:rsid w:val="00872238"/>
    <w:rsid w:val="0087235C"/>
    <w:rsid w:val="00872D02"/>
    <w:rsid w:val="00873978"/>
    <w:rsid w:val="00874034"/>
    <w:rsid w:val="008741F7"/>
    <w:rsid w:val="00874716"/>
    <w:rsid w:val="0087524C"/>
    <w:rsid w:val="008754F2"/>
    <w:rsid w:val="00875C80"/>
    <w:rsid w:val="008774CE"/>
    <w:rsid w:val="00877868"/>
    <w:rsid w:val="00877988"/>
    <w:rsid w:val="00877B5A"/>
    <w:rsid w:val="00877C72"/>
    <w:rsid w:val="00877E1E"/>
    <w:rsid w:val="00877F4E"/>
    <w:rsid w:val="00880194"/>
    <w:rsid w:val="00880397"/>
    <w:rsid w:val="00881C1D"/>
    <w:rsid w:val="0088235C"/>
    <w:rsid w:val="00882495"/>
    <w:rsid w:val="00882796"/>
    <w:rsid w:val="00882BD3"/>
    <w:rsid w:val="008832A7"/>
    <w:rsid w:val="008835E2"/>
    <w:rsid w:val="008837D1"/>
    <w:rsid w:val="008838BA"/>
    <w:rsid w:val="00883E0B"/>
    <w:rsid w:val="00883F36"/>
    <w:rsid w:val="00884293"/>
    <w:rsid w:val="00885073"/>
    <w:rsid w:val="00885A4C"/>
    <w:rsid w:val="008860B9"/>
    <w:rsid w:val="00886233"/>
    <w:rsid w:val="00886395"/>
    <w:rsid w:val="008867B7"/>
    <w:rsid w:val="00886B48"/>
    <w:rsid w:val="00886DB0"/>
    <w:rsid w:val="00887149"/>
    <w:rsid w:val="00887192"/>
    <w:rsid w:val="0088720F"/>
    <w:rsid w:val="00887613"/>
    <w:rsid w:val="008878F3"/>
    <w:rsid w:val="00887A21"/>
    <w:rsid w:val="0089012A"/>
    <w:rsid w:val="00890662"/>
    <w:rsid w:val="00890837"/>
    <w:rsid w:val="00890FCC"/>
    <w:rsid w:val="0089124C"/>
    <w:rsid w:val="008916B9"/>
    <w:rsid w:val="00892222"/>
    <w:rsid w:val="008928E7"/>
    <w:rsid w:val="00892A04"/>
    <w:rsid w:val="00893533"/>
    <w:rsid w:val="008935D5"/>
    <w:rsid w:val="008936E5"/>
    <w:rsid w:val="0089396E"/>
    <w:rsid w:val="00893E42"/>
    <w:rsid w:val="008945BC"/>
    <w:rsid w:val="00894F0B"/>
    <w:rsid w:val="00895779"/>
    <w:rsid w:val="00896819"/>
    <w:rsid w:val="00896820"/>
    <w:rsid w:val="00897F26"/>
    <w:rsid w:val="008A0558"/>
    <w:rsid w:val="008A0675"/>
    <w:rsid w:val="008A0897"/>
    <w:rsid w:val="008A1114"/>
    <w:rsid w:val="008A1561"/>
    <w:rsid w:val="008A17DE"/>
    <w:rsid w:val="008A188A"/>
    <w:rsid w:val="008A1DC4"/>
    <w:rsid w:val="008A216B"/>
    <w:rsid w:val="008A29DB"/>
    <w:rsid w:val="008A2A60"/>
    <w:rsid w:val="008A2C4F"/>
    <w:rsid w:val="008A30DF"/>
    <w:rsid w:val="008A3138"/>
    <w:rsid w:val="008A36A5"/>
    <w:rsid w:val="008A3DDD"/>
    <w:rsid w:val="008A4165"/>
    <w:rsid w:val="008A42B6"/>
    <w:rsid w:val="008A448A"/>
    <w:rsid w:val="008A4660"/>
    <w:rsid w:val="008A4AF7"/>
    <w:rsid w:val="008A4B81"/>
    <w:rsid w:val="008A5358"/>
    <w:rsid w:val="008A538C"/>
    <w:rsid w:val="008A5407"/>
    <w:rsid w:val="008A587A"/>
    <w:rsid w:val="008A5A9E"/>
    <w:rsid w:val="008A5C44"/>
    <w:rsid w:val="008A5D16"/>
    <w:rsid w:val="008A5EA3"/>
    <w:rsid w:val="008A61CD"/>
    <w:rsid w:val="008A6442"/>
    <w:rsid w:val="008A6701"/>
    <w:rsid w:val="008A6A21"/>
    <w:rsid w:val="008A6A53"/>
    <w:rsid w:val="008A6ABB"/>
    <w:rsid w:val="008A6B22"/>
    <w:rsid w:val="008A7014"/>
    <w:rsid w:val="008A7416"/>
    <w:rsid w:val="008A7527"/>
    <w:rsid w:val="008A771A"/>
    <w:rsid w:val="008A7FD1"/>
    <w:rsid w:val="008B02F0"/>
    <w:rsid w:val="008B030D"/>
    <w:rsid w:val="008B0510"/>
    <w:rsid w:val="008B074B"/>
    <w:rsid w:val="008B0DC9"/>
    <w:rsid w:val="008B114F"/>
    <w:rsid w:val="008B1C8A"/>
    <w:rsid w:val="008B1DA2"/>
    <w:rsid w:val="008B1EA0"/>
    <w:rsid w:val="008B1F62"/>
    <w:rsid w:val="008B2923"/>
    <w:rsid w:val="008B2C43"/>
    <w:rsid w:val="008B2F44"/>
    <w:rsid w:val="008B36AE"/>
    <w:rsid w:val="008B38E3"/>
    <w:rsid w:val="008B3B1B"/>
    <w:rsid w:val="008B3C47"/>
    <w:rsid w:val="008B4BF6"/>
    <w:rsid w:val="008B5C0D"/>
    <w:rsid w:val="008B5C36"/>
    <w:rsid w:val="008B61FA"/>
    <w:rsid w:val="008B6372"/>
    <w:rsid w:val="008B71A9"/>
    <w:rsid w:val="008B7205"/>
    <w:rsid w:val="008B7A7E"/>
    <w:rsid w:val="008C0C61"/>
    <w:rsid w:val="008C0FB2"/>
    <w:rsid w:val="008C10B5"/>
    <w:rsid w:val="008C11DB"/>
    <w:rsid w:val="008C1235"/>
    <w:rsid w:val="008C1621"/>
    <w:rsid w:val="008C171A"/>
    <w:rsid w:val="008C1AC4"/>
    <w:rsid w:val="008C1CDF"/>
    <w:rsid w:val="008C1E9F"/>
    <w:rsid w:val="008C2294"/>
    <w:rsid w:val="008C2502"/>
    <w:rsid w:val="008C2808"/>
    <w:rsid w:val="008C3342"/>
    <w:rsid w:val="008C40AC"/>
    <w:rsid w:val="008C4404"/>
    <w:rsid w:val="008C48DD"/>
    <w:rsid w:val="008C4996"/>
    <w:rsid w:val="008C4E56"/>
    <w:rsid w:val="008C4F4B"/>
    <w:rsid w:val="008C57DE"/>
    <w:rsid w:val="008C5D9A"/>
    <w:rsid w:val="008C5E0D"/>
    <w:rsid w:val="008C60E6"/>
    <w:rsid w:val="008C680D"/>
    <w:rsid w:val="008C68D3"/>
    <w:rsid w:val="008C6A91"/>
    <w:rsid w:val="008C712F"/>
    <w:rsid w:val="008C7321"/>
    <w:rsid w:val="008C75F0"/>
    <w:rsid w:val="008C7736"/>
    <w:rsid w:val="008C7BF1"/>
    <w:rsid w:val="008C7DAD"/>
    <w:rsid w:val="008D059D"/>
    <w:rsid w:val="008D0F25"/>
    <w:rsid w:val="008D11FC"/>
    <w:rsid w:val="008D1518"/>
    <w:rsid w:val="008D1AF9"/>
    <w:rsid w:val="008D1EFD"/>
    <w:rsid w:val="008D273C"/>
    <w:rsid w:val="008D2C80"/>
    <w:rsid w:val="008D380F"/>
    <w:rsid w:val="008D39EC"/>
    <w:rsid w:val="008D3EC1"/>
    <w:rsid w:val="008D3FDC"/>
    <w:rsid w:val="008D3FE9"/>
    <w:rsid w:val="008D40E6"/>
    <w:rsid w:val="008D43DC"/>
    <w:rsid w:val="008D4979"/>
    <w:rsid w:val="008D4B64"/>
    <w:rsid w:val="008D4E8D"/>
    <w:rsid w:val="008D4E9F"/>
    <w:rsid w:val="008D5261"/>
    <w:rsid w:val="008D5475"/>
    <w:rsid w:val="008D5BBD"/>
    <w:rsid w:val="008D5CB9"/>
    <w:rsid w:val="008D6059"/>
    <w:rsid w:val="008D6167"/>
    <w:rsid w:val="008D6D59"/>
    <w:rsid w:val="008D6D62"/>
    <w:rsid w:val="008D703D"/>
    <w:rsid w:val="008D79D3"/>
    <w:rsid w:val="008D7B0A"/>
    <w:rsid w:val="008E0002"/>
    <w:rsid w:val="008E05AC"/>
    <w:rsid w:val="008E08FD"/>
    <w:rsid w:val="008E0D01"/>
    <w:rsid w:val="008E0F2C"/>
    <w:rsid w:val="008E13FE"/>
    <w:rsid w:val="008E1757"/>
    <w:rsid w:val="008E1865"/>
    <w:rsid w:val="008E1A07"/>
    <w:rsid w:val="008E28EE"/>
    <w:rsid w:val="008E30F6"/>
    <w:rsid w:val="008E3161"/>
    <w:rsid w:val="008E3231"/>
    <w:rsid w:val="008E3259"/>
    <w:rsid w:val="008E33A0"/>
    <w:rsid w:val="008E346F"/>
    <w:rsid w:val="008E384B"/>
    <w:rsid w:val="008E3D2B"/>
    <w:rsid w:val="008E3D8A"/>
    <w:rsid w:val="008E4413"/>
    <w:rsid w:val="008E4466"/>
    <w:rsid w:val="008E518D"/>
    <w:rsid w:val="008E56EA"/>
    <w:rsid w:val="008E576B"/>
    <w:rsid w:val="008E5B4E"/>
    <w:rsid w:val="008E63DC"/>
    <w:rsid w:val="008E745F"/>
    <w:rsid w:val="008E7B0F"/>
    <w:rsid w:val="008E7B3E"/>
    <w:rsid w:val="008E7D60"/>
    <w:rsid w:val="008E7FC0"/>
    <w:rsid w:val="008F0E20"/>
    <w:rsid w:val="008F129F"/>
    <w:rsid w:val="008F12EA"/>
    <w:rsid w:val="008F1A7A"/>
    <w:rsid w:val="008F1F13"/>
    <w:rsid w:val="008F2075"/>
    <w:rsid w:val="008F2BC5"/>
    <w:rsid w:val="008F2FE1"/>
    <w:rsid w:val="008F3403"/>
    <w:rsid w:val="008F4264"/>
    <w:rsid w:val="008F47A5"/>
    <w:rsid w:val="008F4904"/>
    <w:rsid w:val="008F4FF3"/>
    <w:rsid w:val="008F5220"/>
    <w:rsid w:val="008F58DF"/>
    <w:rsid w:val="008F5B44"/>
    <w:rsid w:val="008F5E5A"/>
    <w:rsid w:val="008F60AF"/>
    <w:rsid w:val="008F6132"/>
    <w:rsid w:val="008F6F0E"/>
    <w:rsid w:val="008F6FE4"/>
    <w:rsid w:val="008F6FF9"/>
    <w:rsid w:val="008F7884"/>
    <w:rsid w:val="00900682"/>
    <w:rsid w:val="009007E1"/>
    <w:rsid w:val="00900951"/>
    <w:rsid w:val="00900CA2"/>
    <w:rsid w:val="00900EF5"/>
    <w:rsid w:val="009010CE"/>
    <w:rsid w:val="009011E3"/>
    <w:rsid w:val="00901341"/>
    <w:rsid w:val="009014C3"/>
    <w:rsid w:val="00901A6D"/>
    <w:rsid w:val="00902A17"/>
    <w:rsid w:val="00902C83"/>
    <w:rsid w:val="00902EB3"/>
    <w:rsid w:val="0090322A"/>
    <w:rsid w:val="00903393"/>
    <w:rsid w:val="00903974"/>
    <w:rsid w:val="00903A5D"/>
    <w:rsid w:val="00903C02"/>
    <w:rsid w:val="009047BA"/>
    <w:rsid w:val="00904DF5"/>
    <w:rsid w:val="00904E7E"/>
    <w:rsid w:val="00906219"/>
    <w:rsid w:val="00906286"/>
    <w:rsid w:val="00906BC7"/>
    <w:rsid w:val="00906C03"/>
    <w:rsid w:val="0090787A"/>
    <w:rsid w:val="00907EF2"/>
    <w:rsid w:val="00910879"/>
    <w:rsid w:val="00910E1E"/>
    <w:rsid w:val="00911125"/>
    <w:rsid w:val="00911E34"/>
    <w:rsid w:val="009124F0"/>
    <w:rsid w:val="009125BD"/>
    <w:rsid w:val="00913050"/>
    <w:rsid w:val="0091328E"/>
    <w:rsid w:val="0091349F"/>
    <w:rsid w:val="00913607"/>
    <w:rsid w:val="0091388A"/>
    <w:rsid w:val="009138E6"/>
    <w:rsid w:val="00913A54"/>
    <w:rsid w:val="00913AFA"/>
    <w:rsid w:val="009140A0"/>
    <w:rsid w:val="009144ED"/>
    <w:rsid w:val="009149D6"/>
    <w:rsid w:val="00914A85"/>
    <w:rsid w:val="00914E47"/>
    <w:rsid w:val="00915970"/>
    <w:rsid w:val="00915C4C"/>
    <w:rsid w:val="00915D10"/>
    <w:rsid w:val="009167FE"/>
    <w:rsid w:val="00916BFE"/>
    <w:rsid w:val="00917844"/>
    <w:rsid w:val="00917BA2"/>
    <w:rsid w:val="0092078A"/>
    <w:rsid w:val="00920791"/>
    <w:rsid w:val="00920C78"/>
    <w:rsid w:val="00920D9E"/>
    <w:rsid w:val="00922149"/>
    <w:rsid w:val="00922352"/>
    <w:rsid w:val="00922640"/>
    <w:rsid w:val="00922974"/>
    <w:rsid w:val="00922B10"/>
    <w:rsid w:val="0092428B"/>
    <w:rsid w:val="009248D0"/>
    <w:rsid w:val="009254D7"/>
    <w:rsid w:val="009255B3"/>
    <w:rsid w:val="00925A97"/>
    <w:rsid w:val="00926E4E"/>
    <w:rsid w:val="00926F7A"/>
    <w:rsid w:val="009275AA"/>
    <w:rsid w:val="00927BF0"/>
    <w:rsid w:val="00927E47"/>
    <w:rsid w:val="009302F6"/>
    <w:rsid w:val="0093036C"/>
    <w:rsid w:val="0093065A"/>
    <w:rsid w:val="00930BDD"/>
    <w:rsid w:val="009318CA"/>
    <w:rsid w:val="00931F9C"/>
    <w:rsid w:val="009320CD"/>
    <w:rsid w:val="00932154"/>
    <w:rsid w:val="0093299F"/>
    <w:rsid w:val="00932D62"/>
    <w:rsid w:val="0093375A"/>
    <w:rsid w:val="00933836"/>
    <w:rsid w:val="00933E7E"/>
    <w:rsid w:val="009340AD"/>
    <w:rsid w:val="0093475D"/>
    <w:rsid w:val="0093495D"/>
    <w:rsid w:val="00934ED6"/>
    <w:rsid w:val="009362F8"/>
    <w:rsid w:val="009366AD"/>
    <w:rsid w:val="009369B5"/>
    <w:rsid w:val="00936BB2"/>
    <w:rsid w:val="00937947"/>
    <w:rsid w:val="00937987"/>
    <w:rsid w:val="00937A72"/>
    <w:rsid w:val="00937D4F"/>
    <w:rsid w:val="00937EB7"/>
    <w:rsid w:val="00940B36"/>
    <w:rsid w:val="00941560"/>
    <w:rsid w:val="0094165E"/>
    <w:rsid w:val="0094173A"/>
    <w:rsid w:val="009417BE"/>
    <w:rsid w:val="00941831"/>
    <w:rsid w:val="00941A82"/>
    <w:rsid w:val="00942350"/>
    <w:rsid w:val="0094261E"/>
    <w:rsid w:val="00942772"/>
    <w:rsid w:val="00942CC6"/>
    <w:rsid w:val="009433AC"/>
    <w:rsid w:val="0094371F"/>
    <w:rsid w:val="00943C71"/>
    <w:rsid w:val="00943D54"/>
    <w:rsid w:val="009445DB"/>
    <w:rsid w:val="00945218"/>
    <w:rsid w:val="0094586A"/>
    <w:rsid w:val="00945F9C"/>
    <w:rsid w:val="0094625F"/>
    <w:rsid w:val="009464F8"/>
    <w:rsid w:val="00946841"/>
    <w:rsid w:val="00947316"/>
    <w:rsid w:val="00947645"/>
    <w:rsid w:val="00947895"/>
    <w:rsid w:val="009479A8"/>
    <w:rsid w:val="00947BFA"/>
    <w:rsid w:val="00947C31"/>
    <w:rsid w:val="00950A0F"/>
    <w:rsid w:val="00950C10"/>
    <w:rsid w:val="00950F25"/>
    <w:rsid w:val="009510A7"/>
    <w:rsid w:val="0095129E"/>
    <w:rsid w:val="00951698"/>
    <w:rsid w:val="00951F2D"/>
    <w:rsid w:val="0095214F"/>
    <w:rsid w:val="009528D3"/>
    <w:rsid w:val="00952C5F"/>
    <w:rsid w:val="00952DB8"/>
    <w:rsid w:val="00952E17"/>
    <w:rsid w:val="00952E4B"/>
    <w:rsid w:val="009540A5"/>
    <w:rsid w:val="00954638"/>
    <w:rsid w:val="00954B32"/>
    <w:rsid w:val="00954B37"/>
    <w:rsid w:val="00954B62"/>
    <w:rsid w:val="00954EDE"/>
    <w:rsid w:val="00954FC4"/>
    <w:rsid w:val="009551DC"/>
    <w:rsid w:val="00955937"/>
    <w:rsid w:val="0095614A"/>
    <w:rsid w:val="009565C5"/>
    <w:rsid w:val="00956AB6"/>
    <w:rsid w:val="00956B55"/>
    <w:rsid w:val="00956DE0"/>
    <w:rsid w:val="00956F78"/>
    <w:rsid w:val="009570F5"/>
    <w:rsid w:val="00957520"/>
    <w:rsid w:val="009575DD"/>
    <w:rsid w:val="00957CA9"/>
    <w:rsid w:val="0096034C"/>
    <w:rsid w:val="00960378"/>
    <w:rsid w:val="00960BBF"/>
    <w:rsid w:val="009611BE"/>
    <w:rsid w:val="00961201"/>
    <w:rsid w:val="00961F08"/>
    <w:rsid w:val="00961F8E"/>
    <w:rsid w:val="009621A3"/>
    <w:rsid w:val="0096254F"/>
    <w:rsid w:val="00962D25"/>
    <w:rsid w:val="00962D2D"/>
    <w:rsid w:val="009630CD"/>
    <w:rsid w:val="00963687"/>
    <w:rsid w:val="00963E83"/>
    <w:rsid w:val="009643C6"/>
    <w:rsid w:val="00964D83"/>
    <w:rsid w:val="00965759"/>
    <w:rsid w:val="009657C2"/>
    <w:rsid w:val="0096586D"/>
    <w:rsid w:val="00965B3C"/>
    <w:rsid w:val="00965C47"/>
    <w:rsid w:val="009666A9"/>
    <w:rsid w:val="0096679E"/>
    <w:rsid w:val="00966BAD"/>
    <w:rsid w:val="0096761B"/>
    <w:rsid w:val="00970388"/>
    <w:rsid w:val="009708CE"/>
    <w:rsid w:val="00970C4F"/>
    <w:rsid w:val="00970CB5"/>
    <w:rsid w:val="00970EA2"/>
    <w:rsid w:val="00970F4F"/>
    <w:rsid w:val="009711B2"/>
    <w:rsid w:val="009712EA"/>
    <w:rsid w:val="009717A9"/>
    <w:rsid w:val="00971AC2"/>
    <w:rsid w:val="00971C1E"/>
    <w:rsid w:val="00973E77"/>
    <w:rsid w:val="00974F41"/>
    <w:rsid w:val="0097686D"/>
    <w:rsid w:val="00977284"/>
    <w:rsid w:val="0097769A"/>
    <w:rsid w:val="00977B52"/>
    <w:rsid w:val="00977D41"/>
    <w:rsid w:val="009801F3"/>
    <w:rsid w:val="00980344"/>
    <w:rsid w:val="00980640"/>
    <w:rsid w:val="00980CA4"/>
    <w:rsid w:val="009810C0"/>
    <w:rsid w:val="009812FB"/>
    <w:rsid w:val="009820B2"/>
    <w:rsid w:val="00982579"/>
    <w:rsid w:val="0098264E"/>
    <w:rsid w:val="00982897"/>
    <w:rsid w:val="00982960"/>
    <w:rsid w:val="00982991"/>
    <w:rsid w:val="00982F23"/>
    <w:rsid w:val="0098317A"/>
    <w:rsid w:val="0098321D"/>
    <w:rsid w:val="00983341"/>
    <w:rsid w:val="00983C56"/>
    <w:rsid w:val="00984053"/>
    <w:rsid w:val="0098417A"/>
    <w:rsid w:val="009844A5"/>
    <w:rsid w:val="00984BA2"/>
    <w:rsid w:val="00984C4E"/>
    <w:rsid w:val="00985D48"/>
    <w:rsid w:val="00985E24"/>
    <w:rsid w:val="00985E8D"/>
    <w:rsid w:val="00985FD8"/>
    <w:rsid w:val="0098618F"/>
    <w:rsid w:val="00986228"/>
    <w:rsid w:val="00986A89"/>
    <w:rsid w:val="00986C1C"/>
    <w:rsid w:val="009872A2"/>
    <w:rsid w:val="00987C8E"/>
    <w:rsid w:val="00987F3E"/>
    <w:rsid w:val="00990026"/>
    <w:rsid w:val="00990490"/>
    <w:rsid w:val="009907F7"/>
    <w:rsid w:val="0099094E"/>
    <w:rsid w:val="00990A09"/>
    <w:rsid w:val="00990D11"/>
    <w:rsid w:val="00991274"/>
    <w:rsid w:val="00991432"/>
    <w:rsid w:val="0099172C"/>
    <w:rsid w:val="00991A99"/>
    <w:rsid w:val="00991CB8"/>
    <w:rsid w:val="00991F4F"/>
    <w:rsid w:val="00992119"/>
    <w:rsid w:val="00992793"/>
    <w:rsid w:val="0099297C"/>
    <w:rsid w:val="00992A89"/>
    <w:rsid w:val="00993647"/>
    <w:rsid w:val="00993BFC"/>
    <w:rsid w:val="00993CB1"/>
    <w:rsid w:val="00993CD3"/>
    <w:rsid w:val="00993FED"/>
    <w:rsid w:val="0099406A"/>
    <w:rsid w:val="0099461B"/>
    <w:rsid w:val="00995600"/>
    <w:rsid w:val="00995F0F"/>
    <w:rsid w:val="00995FA4"/>
    <w:rsid w:val="00996026"/>
    <w:rsid w:val="0099609F"/>
    <w:rsid w:val="009965FF"/>
    <w:rsid w:val="00996D09"/>
    <w:rsid w:val="00996FDC"/>
    <w:rsid w:val="009978F2"/>
    <w:rsid w:val="00997E6A"/>
    <w:rsid w:val="00997F59"/>
    <w:rsid w:val="00997F94"/>
    <w:rsid w:val="009A033E"/>
    <w:rsid w:val="009A0D8A"/>
    <w:rsid w:val="009A19D3"/>
    <w:rsid w:val="009A1D86"/>
    <w:rsid w:val="009A317E"/>
    <w:rsid w:val="009A318D"/>
    <w:rsid w:val="009A392E"/>
    <w:rsid w:val="009A3D5C"/>
    <w:rsid w:val="009A3DAA"/>
    <w:rsid w:val="009A41AB"/>
    <w:rsid w:val="009A4631"/>
    <w:rsid w:val="009A4E89"/>
    <w:rsid w:val="009A4FFB"/>
    <w:rsid w:val="009A52BC"/>
    <w:rsid w:val="009A5B91"/>
    <w:rsid w:val="009A66D3"/>
    <w:rsid w:val="009A6DF4"/>
    <w:rsid w:val="009A7A27"/>
    <w:rsid w:val="009B04CB"/>
    <w:rsid w:val="009B0784"/>
    <w:rsid w:val="009B0E84"/>
    <w:rsid w:val="009B0EC5"/>
    <w:rsid w:val="009B175B"/>
    <w:rsid w:val="009B1A52"/>
    <w:rsid w:val="009B28B1"/>
    <w:rsid w:val="009B2BCD"/>
    <w:rsid w:val="009B2EC9"/>
    <w:rsid w:val="009B320A"/>
    <w:rsid w:val="009B3526"/>
    <w:rsid w:val="009B3616"/>
    <w:rsid w:val="009B38DE"/>
    <w:rsid w:val="009B3AE5"/>
    <w:rsid w:val="009B42D9"/>
    <w:rsid w:val="009B46F4"/>
    <w:rsid w:val="009B4A29"/>
    <w:rsid w:val="009B5221"/>
    <w:rsid w:val="009B5538"/>
    <w:rsid w:val="009B62C9"/>
    <w:rsid w:val="009B638A"/>
    <w:rsid w:val="009B64B1"/>
    <w:rsid w:val="009B6542"/>
    <w:rsid w:val="009B6F4C"/>
    <w:rsid w:val="009B7099"/>
    <w:rsid w:val="009B727A"/>
    <w:rsid w:val="009B7D20"/>
    <w:rsid w:val="009C0276"/>
    <w:rsid w:val="009C02A7"/>
    <w:rsid w:val="009C046C"/>
    <w:rsid w:val="009C0CC0"/>
    <w:rsid w:val="009C1762"/>
    <w:rsid w:val="009C2417"/>
    <w:rsid w:val="009C279B"/>
    <w:rsid w:val="009C2A3A"/>
    <w:rsid w:val="009C2CC7"/>
    <w:rsid w:val="009C3154"/>
    <w:rsid w:val="009C3512"/>
    <w:rsid w:val="009C4551"/>
    <w:rsid w:val="009C465D"/>
    <w:rsid w:val="009C46C1"/>
    <w:rsid w:val="009C4FEF"/>
    <w:rsid w:val="009C5535"/>
    <w:rsid w:val="009C561E"/>
    <w:rsid w:val="009C58C9"/>
    <w:rsid w:val="009C5EA0"/>
    <w:rsid w:val="009C62E7"/>
    <w:rsid w:val="009C67A7"/>
    <w:rsid w:val="009C6BDC"/>
    <w:rsid w:val="009C6FCB"/>
    <w:rsid w:val="009C7207"/>
    <w:rsid w:val="009C72D8"/>
    <w:rsid w:val="009C76C4"/>
    <w:rsid w:val="009C77C6"/>
    <w:rsid w:val="009C7A03"/>
    <w:rsid w:val="009C7A9D"/>
    <w:rsid w:val="009C7CF6"/>
    <w:rsid w:val="009D08F9"/>
    <w:rsid w:val="009D0A9A"/>
    <w:rsid w:val="009D1088"/>
    <w:rsid w:val="009D1303"/>
    <w:rsid w:val="009D1312"/>
    <w:rsid w:val="009D16EF"/>
    <w:rsid w:val="009D1E8B"/>
    <w:rsid w:val="009D2A2D"/>
    <w:rsid w:val="009D319A"/>
    <w:rsid w:val="009D33E2"/>
    <w:rsid w:val="009D459A"/>
    <w:rsid w:val="009D4A91"/>
    <w:rsid w:val="009D5402"/>
    <w:rsid w:val="009D611D"/>
    <w:rsid w:val="009D6158"/>
    <w:rsid w:val="009D688D"/>
    <w:rsid w:val="009D75EF"/>
    <w:rsid w:val="009D76CE"/>
    <w:rsid w:val="009D7A93"/>
    <w:rsid w:val="009E0154"/>
    <w:rsid w:val="009E0365"/>
    <w:rsid w:val="009E07BC"/>
    <w:rsid w:val="009E0B04"/>
    <w:rsid w:val="009E117E"/>
    <w:rsid w:val="009E1AD9"/>
    <w:rsid w:val="009E1D90"/>
    <w:rsid w:val="009E1E12"/>
    <w:rsid w:val="009E1F27"/>
    <w:rsid w:val="009E2789"/>
    <w:rsid w:val="009E2C82"/>
    <w:rsid w:val="009E368A"/>
    <w:rsid w:val="009E36A3"/>
    <w:rsid w:val="009E37F0"/>
    <w:rsid w:val="009E3950"/>
    <w:rsid w:val="009E3BB1"/>
    <w:rsid w:val="009E4221"/>
    <w:rsid w:val="009E4F67"/>
    <w:rsid w:val="009E688A"/>
    <w:rsid w:val="009E6ADC"/>
    <w:rsid w:val="009E6D24"/>
    <w:rsid w:val="009E6D40"/>
    <w:rsid w:val="009E6F6A"/>
    <w:rsid w:val="009F0768"/>
    <w:rsid w:val="009F0CC5"/>
    <w:rsid w:val="009F1153"/>
    <w:rsid w:val="009F117C"/>
    <w:rsid w:val="009F13B3"/>
    <w:rsid w:val="009F152F"/>
    <w:rsid w:val="009F1A18"/>
    <w:rsid w:val="009F268A"/>
    <w:rsid w:val="009F2DAB"/>
    <w:rsid w:val="009F2E7B"/>
    <w:rsid w:val="009F2E9D"/>
    <w:rsid w:val="009F2F17"/>
    <w:rsid w:val="009F2FE7"/>
    <w:rsid w:val="009F32B1"/>
    <w:rsid w:val="009F357F"/>
    <w:rsid w:val="009F36A4"/>
    <w:rsid w:val="009F37DB"/>
    <w:rsid w:val="009F38BE"/>
    <w:rsid w:val="009F3A90"/>
    <w:rsid w:val="009F4AD9"/>
    <w:rsid w:val="009F4CCA"/>
    <w:rsid w:val="009F4F72"/>
    <w:rsid w:val="009F4FC5"/>
    <w:rsid w:val="009F5227"/>
    <w:rsid w:val="009F53F2"/>
    <w:rsid w:val="009F555A"/>
    <w:rsid w:val="009F55E0"/>
    <w:rsid w:val="009F5948"/>
    <w:rsid w:val="009F6445"/>
    <w:rsid w:val="009F6817"/>
    <w:rsid w:val="009F6D6C"/>
    <w:rsid w:val="009F757B"/>
    <w:rsid w:val="009F79E8"/>
    <w:rsid w:val="009F7CCD"/>
    <w:rsid w:val="00A003CF"/>
    <w:rsid w:val="00A00877"/>
    <w:rsid w:val="00A00A9A"/>
    <w:rsid w:val="00A00AD2"/>
    <w:rsid w:val="00A00F68"/>
    <w:rsid w:val="00A0133F"/>
    <w:rsid w:val="00A01C36"/>
    <w:rsid w:val="00A026B6"/>
    <w:rsid w:val="00A02ABB"/>
    <w:rsid w:val="00A02CBE"/>
    <w:rsid w:val="00A031C0"/>
    <w:rsid w:val="00A032D3"/>
    <w:rsid w:val="00A03B86"/>
    <w:rsid w:val="00A03D09"/>
    <w:rsid w:val="00A043DB"/>
    <w:rsid w:val="00A045D4"/>
    <w:rsid w:val="00A04828"/>
    <w:rsid w:val="00A04D0C"/>
    <w:rsid w:val="00A04E53"/>
    <w:rsid w:val="00A05177"/>
    <w:rsid w:val="00A055CE"/>
    <w:rsid w:val="00A05EB1"/>
    <w:rsid w:val="00A05F34"/>
    <w:rsid w:val="00A067CA"/>
    <w:rsid w:val="00A0690F"/>
    <w:rsid w:val="00A06BB6"/>
    <w:rsid w:val="00A06BD1"/>
    <w:rsid w:val="00A07501"/>
    <w:rsid w:val="00A07A00"/>
    <w:rsid w:val="00A07C0A"/>
    <w:rsid w:val="00A07E2E"/>
    <w:rsid w:val="00A1050C"/>
    <w:rsid w:val="00A10AD8"/>
    <w:rsid w:val="00A11586"/>
    <w:rsid w:val="00A11A33"/>
    <w:rsid w:val="00A12178"/>
    <w:rsid w:val="00A12336"/>
    <w:rsid w:val="00A12811"/>
    <w:rsid w:val="00A12DF7"/>
    <w:rsid w:val="00A139CE"/>
    <w:rsid w:val="00A152E1"/>
    <w:rsid w:val="00A15561"/>
    <w:rsid w:val="00A15B12"/>
    <w:rsid w:val="00A15D4C"/>
    <w:rsid w:val="00A1629F"/>
    <w:rsid w:val="00A1639E"/>
    <w:rsid w:val="00A16481"/>
    <w:rsid w:val="00A16938"/>
    <w:rsid w:val="00A16B01"/>
    <w:rsid w:val="00A16BE1"/>
    <w:rsid w:val="00A16EC8"/>
    <w:rsid w:val="00A172AC"/>
    <w:rsid w:val="00A17803"/>
    <w:rsid w:val="00A20109"/>
    <w:rsid w:val="00A20597"/>
    <w:rsid w:val="00A20A86"/>
    <w:rsid w:val="00A20CC0"/>
    <w:rsid w:val="00A211ED"/>
    <w:rsid w:val="00A21249"/>
    <w:rsid w:val="00A2260F"/>
    <w:rsid w:val="00A22886"/>
    <w:rsid w:val="00A22BD8"/>
    <w:rsid w:val="00A22E7E"/>
    <w:rsid w:val="00A23209"/>
    <w:rsid w:val="00A2448F"/>
    <w:rsid w:val="00A24C33"/>
    <w:rsid w:val="00A24F7A"/>
    <w:rsid w:val="00A25DF1"/>
    <w:rsid w:val="00A26384"/>
    <w:rsid w:val="00A26E86"/>
    <w:rsid w:val="00A27558"/>
    <w:rsid w:val="00A30381"/>
    <w:rsid w:val="00A30AC1"/>
    <w:rsid w:val="00A30AC4"/>
    <w:rsid w:val="00A312EC"/>
    <w:rsid w:val="00A312FC"/>
    <w:rsid w:val="00A31484"/>
    <w:rsid w:val="00A314A7"/>
    <w:rsid w:val="00A31C6E"/>
    <w:rsid w:val="00A32388"/>
    <w:rsid w:val="00A32819"/>
    <w:rsid w:val="00A337F1"/>
    <w:rsid w:val="00A3470D"/>
    <w:rsid w:val="00A348CC"/>
    <w:rsid w:val="00A34ACD"/>
    <w:rsid w:val="00A34D99"/>
    <w:rsid w:val="00A34F1D"/>
    <w:rsid w:val="00A34FFC"/>
    <w:rsid w:val="00A3522A"/>
    <w:rsid w:val="00A356AB"/>
    <w:rsid w:val="00A356FF"/>
    <w:rsid w:val="00A35BC8"/>
    <w:rsid w:val="00A35F1C"/>
    <w:rsid w:val="00A360E5"/>
    <w:rsid w:val="00A36604"/>
    <w:rsid w:val="00A36767"/>
    <w:rsid w:val="00A368B4"/>
    <w:rsid w:val="00A3690F"/>
    <w:rsid w:val="00A372F2"/>
    <w:rsid w:val="00A37537"/>
    <w:rsid w:val="00A378CF"/>
    <w:rsid w:val="00A37B82"/>
    <w:rsid w:val="00A37D09"/>
    <w:rsid w:val="00A40653"/>
    <w:rsid w:val="00A40720"/>
    <w:rsid w:val="00A4092F"/>
    <w:rsid w:val="00A40D68"/>
    <w:rsid w:val="00A40F26"/>
    <w:rsid w:val="00A40F86"/>
    <w:rsid w:val="00A4113F"/>
    <w:rsid w:val="00A41A44"/>
    <w:rsid w:val="00A4267E"/>
    <w:rsid w:val="00A42F09"/>
    <w:rsid w:val="00A42F14"/>
    <w:rsid w:val="00A42FFD"/>
    <w:rsid w:val="00A430DC"/>
    <w:rsid w:val="00A4340D"/>
    <w:rsid w:val="00A436E1"/>
    <w:rsid w:val="00A44925"/>
    <w:rsid w:val="00A44957"/>
    <w:rsid w:val="00A45029"/>
    <w:rsid w:val="00A456D7"/>
    <w:rsid w:val="00A46419"/>
    <w:rsid w:val="00A4647C"/>
    <w:rsid w:val="00A464D4"/>
    <w:rsid w:val="00A46689"/>
    <w:rsid w:val="00A46A3A"/>
    <w:rsid w:val="00A46BE8"/>
    <w:rsid w:val="00A47CA6"/>
    <w:rsid w:val="00A47F78"/>
    <w:rsid w:val="00A504AF"/>
    <w:rsid w:val="00A50880"/>
    <w:rsid w:val="00A50993"/>
    <w:rsid w:val="00A5125C"/>
    <w:rsid w:val="00A5160A"/>
    <w:rsid w:val="00A51716"/>
    <w:rsid w:val="00A522DF"/>
    <w:rsid w:val="00A53029"/>
    <w:rsid w:val="00A531C8"/>
    <w:rsid w:val="00A53BF6"/>
    <w:rsid w:val="00A53CF4"/>
    <w:rsid w:val="00A53EF6"/>
    <w:rsid w:val="00A53FA9"/>
    <w:rsid w:val="00A540D0"/>
    <w:rsid w:val="00A54272"/>
    <w:rsid w:val="00A54B88"/>
    <w:rsid w:val="00A55073"/>
    <w:rsid w:val="00A55BE5"/>
    <w:rsid w:val="00A55CFD"/>
    <w:rsid w:val="00A55DC8"/>
    <w:rsid w:val="00A56687"/>
    <w:rsid w:val="00A569C1"/>
    <w:rsid w:val="00A56CD8"/>
    <w:rsid w:val="00A57054"/>
    <w:rsid w:val="00A572ED"/>
    <w:rsid w:val="00A60069"/>
    <w:rsid w:val="00A60151"/>
    <w:rsid w:val="00A60386"/>
    <w:rsid w:val="00A6055D"/>
    <w:rsid w:val="00A6148E"/>
    <w:rsid w:val="00A61C35"/>
    <w:rsid w:val="00A62EE5"/>
    <w:rsid w:val="00A62F4B"/>
    <w:rsid w:val="00A62F97"/>
    <w:rsid w:val="00A631AB"/>
    <w:rsid w:val="00A63280"/>
    <w:rsid w:val="00A63419"/>
    <w:rsid w:val="00A634D1"/>
    <w:rsid w:val="00A6382B"/>
    <w:rsid w:val="00A63923"/>
    <w:rsid w:val="00A644C4"/>
    <w:rsid w:val="00A64674"/>
    <w:rsid w:val="00A646CB"/>
    <w:rsid w:val="00A64A06"/>
    <w:rsid w:val="00A64D04"/>
    <w:rsid w:val="00A64DBB"/>
    <w:rsid w:val="00A658F0"/>
    <w:rsid w:val="00A65916"/>
    <w:rsid w:val="00A65963"/>
    <w:rsid w:val="00A659E4"/>
    <w:rsid w:val="00A65CD9"/>
    <w:rsid w:val="00A66E52"/>
    <w:rsid w:val="00A66F62"/>
    <w:rsid w:val="00A67411"/>
    <w:rsid w:val="00A67731"/>
    <w:rsid w:val="00A67942"/>
    <w:rsid w:val="00A67F9E"/>
    <w:rsid w:val="00A703A7"/>
    <w:rsid w:val="00A70F24"/>
    <w:rsid w:val="00A710F7"/>
    <w:rsid w:val="00A712F8"/>
    <w:rsid w:val="00A71306"/>
    <w:rsid w:val="00A7131E"/>
    <w:rsid w:val="00A71459"/>
    <w:rsid w:val="00A72028"/>
    <w:rsid w:val="00A73209"/>
    <w:rsid w:val="00A73CCA"/>
    <w:rsid w:val="00A73D63"/>
    <w:rsid w:val="00A74C17"/>
    <w:rsid w:val="00A751F3"/>
    <w:rsid w:val="00A75E1A"/>
    <w:rsid w:val="00A75F66"/>
    <w:rsid w:val="00A76190"/>
    <w:rsid w:val="00A76F21"/>
    <w:rsid w:val="00A77455"/>
    <w:rsid w:val="00A77641"/>
    <w:rsid w:val="00A7777C"/>
    <w:rsid w:val="00A77AB7"/>
    <w:rsid w:val="00A80326"/>
    <w:rsid w:val="00A803B6"/>
    <w:rsid w:val="00A8088E"/>
    <w:rsid w:val="00A80C58"/>
    <w:rsid w:val="00A80DCC"/>
    <w:rsid w:val="00A80E0F"/>
    <w:rsid w:val="00A80E34"/>
    <w:rsid w:val="00A810E7"/>
    <w:rsid w:val="00A81290"/>
    <w:rsid w:val="00A81B10"/>
    <w:rsid w:val="00A81D14"/>
    <w:rsid w:val="00A820B5"/>
    <w:rsid w:val="00A82579"/>
    <w:rsid w:val="00A8265D"/>
    <w:rsid w:val="00A83241"/>
    <w:rsid w:val="00A833A2"/>
    <w:rsid w:val="00A83471"/>
    <w:rsid w:val="00A83BFA"/>
    <w:rsid w:val="00A83D26"/>
    <w:rsid w:val="00A84048"/>
    <w:rsid w:val="00A84B1E"/>
    <w:rsid w:val="00A84EA1"/>
    <w:rsid w:val="00A84EF7"/>
    <w:rsid w:val="00A852C4"/>
    <w:rsid w:val="00A853B4"/>
    <w:rsid w:val="00A8572A"/>
    <w:rsid w:val="00A85908"/>
    <w:rsid w:val="00A86311"/>
    <w:rsid w:val="00A86429"/>
    <w:rsid w:val="00A86FC6"/>
    <w:rsid w:val="00A8778A"/>
    <w:rsid w:val="00A878A6"/>
    <w:rsid w:val="00A8795D"/>
    <w:rsid w:val="00A87B7E"/>
    <w:rsid w:val="00A90076"/>
    <w:rsid w:val="00A90512"/>
    <w:rsid w:val="00A90842"/>
    <w:rsid w:val="00A913B7"/>
    <w:rsid w:val="00A914FC"/>
    <w:rsid w:val="00A916FF"/>
    <w:rsid w:val="00A91736"/>
    <w:rsid w:val="00A9198E"/>
    <w:rsid w:val="00A91B9E"/>
    <w:rsid w:val="00A91BE3"/>
    <w:rsid w:val="00A92975"/>
    <w:rsid w:val="00A92A48"/>
    <w:rsid w:val="00A933B1"/>
    <w:rsid w:val="00A947C4"/>
    <w:rsid w:val="00A949BA"/>
    <w:rsid w:val="00A94EF2"/>
    <w:rsid w:val="00A95276"/>
    <w:rsid w:val="00A95693"/>
    <w:rsid w:val="00A96113"/>
    <w:rsid w:val="00A96187"/>
    <w:rsid w:val="00A962E1"/>
    <w:rsid w:val="00A96383"/>
    <w:rsid w:val="00A966E1"/>
    <w:rsid w:val="00A96A74"/>
    <w:rsid w:val="00A96F6D"/>
    <w:rsid w:val="00A971EE"/>
    <w:rsid w:val="00A9749F"/>
    <w:rsid w:val="00A97566"/>
    <w:rsid w:val="00A97593"/>
    <w:rsid w:val="00A97C50"/>
    <w:rsid w:val="00AA01D3"/>
    <w:rsid w:val="00AA04D7"/>
    <w:rsid w:val="00AA0936"/>
    <w:rsid w:val="00AA0D49"/>
    <w:rsid w:val="00AA17D2"/>
    <w:rsid w:val="00AA1B85"/>
    <w:rsid w:val="00AA2518"/>
    <w:rsid w:val="00AA2B17"/>
    <w:rsid w:val="00AA2D2F"/>
    <w:rsid w:val="00AA336D"/>
    <w:rsid w:val="00AA3497"/>
    <w:rsid w:val="00AA3514"/>
    <w:rsid w:val="00AA38AC"/>
    <w:rsid w:val="00AA3967"/>
    <w:rsid w:val="00AA3A46"/>
    <w:rsid w:val="00AA3BEB"/>
    <w:rsid w:val="00AA44B4"/>
    <w:rsid w:val="00AA5096"/>
    <w:rsid w:val="00AA5946"/>
    <w:rsid w:val="00AA5E9C"/>
    <w:rsid w:val="00AA5FD9"/>
    <w:rsid w:val="00AA612B"/>
    <w:rsid w:val="00AA638F"/>
    <w:rsid w:val="00AA6CC4"/>
    <w:rsid w:val="00AA6E29"/>
    <w:rsid w:val="00AA73D1"/>
    <w:rsid w:val="00AA78AF"/>
    <w:rsid w:val="00AA7F98"/>
    <w:rsid w:val="00AB0F3A"/>
    <w:rsid w:val="00AB11FC"/>
    <w:rsid w:val="00AB125A"/>
    <w:rsid w:val="00AB136A"/>
    <w:rsid w:val="00AB14DE"/>
    <w:rsid w:val="00AB1844"/>
    <w:rsid w:val="00AB1A8E"/>
    <w:rsid w:val="00AB23C1"/>
    <w:rsid w:val="00AB2580"/>
    <w:rsid w:val="00AB28FA"/>
    <w:rsid w:val="00AB2D0F"/>
    <w:rsid w:val="00AB32D8"/>
    <w:rsid w:val="00AB35BC"/>
    <w:rsid w:val="00AB46B6"/>
    <w:rsid w:val="00AB48C7"/>
    <w:rsid w:val="00AB48DB"/>
    <w:rsid w:val="00AB4C47"/>
    <w:rsid w:val="00AB57D4"/>
    <w:rsid w:val="00AB586A"/>
    <w:rsid w:val="00AB5C92"/>
    <w:rsid w:val="00AB5E7A"/>
    <w:rsid w:val="00AB62D9"/>
    <w:rsid w:val="00AB7209"/>
    <w:rsid w:val="00AB7731"/>
    <w:rsid w:val="00AB798E"/>
    <w:rsid w:val="00AB7A3D"/>
    <w:rsid w:val="00AB7DDE"/>
    <w:rsid w:val="00AC012D"/>
    <w:rsid w:val="00AC019C"/>
    <w:rsid w:val="00AC0375"/>
    <w:rsid w:val="00AC0802"/>
    <w:rsid w:val="00AC0A2D"/>
    <w:rsid w:val="00AC0B2D"/>
    <w:rsid w:val="00AC110D"/>
    <w:rsid w:val="00AC1368"/>
    <w:rsid w:val="00AC151C"/>
    <w:rsid w:val="00AC1A5F"/>
    <w:rsid w:val="00AC210B"/>
    <w:rsid w:val="00AC239F"/>
    <w:rsid w:val="00AC2403"/>
    <w:rsid w:val="00AC2586"/>
    <w:rsid w:val="00AC27E3"/>
    <w:rsid w:val="00AC27FE"/>
    <w:rsid w:val="00AC2BD2"/>
    <w:rsid w:val="00AC2C11"/>
    <w:rsid w:val="00AC3032"/>
    <w:rsid w:val="00AC30BC"/>
    <w:rsid w:val="00AC35E9"/>
    <w:rsid w:val="00AC3B31"/>
    <w:rsid w:val="00AC40AD"/>
    <w:rsid w:val="00AC40B2"/>
    <w:rsid w:val="00AC4785"/>
    <w:rsid w:val="00AC4FDC"/>
    <w:rsid w:val="00AC5564"/>
    <w:rsid w:val="00AC57DA"/>
    <w:rsid w:val="00AC5C2C"/>
    <w:rsid w:val="00AC5C98"/>
    <w:rsid w:val="00AC656A"/>
    <w:rsid w:val="00AC670B"/>
    <w:rsid w:val="00AC6A9E"/>
    <w:rsid w:val="00AC71B2"/>
    <w:rsid w:val="00AC731F"/>
    <w:rsid w:val="00AC7485"/>
    <w:rsid w:val="00AC74FF"/>
    <w:rsid w:val="00AC751B"/>
    <w:rsid w:val="00AC786D"/>
    <w:rsid w:val="00AC7A8C"/>
    <w:rsid w:val="00AC7F2F"/>
    <w:rsid w:val="00AC7FF4"/>
    <w:rsid w:val="00AD0CC1"/>
    <w:rsid w:val="00AD12B2"/>
    <w:rsid w:val="00AD1CD3"/>
    <w:rsid w:val="00AD1D39"/>
    <w:rsid w:val="00AD212B"/>
    <w:rsid w:val="00AD23E8"/>
    <w:rsid w:val="00AD27D3"/>
    <w:rsid w:val="00AD2821"/>
    <w:rsid w:val="00AD28E5"/>
    <w:rsid w:val="00AD2B4D"/>
    <w:rsid w:val="00AD3119"/>
    <w:rsid w:val="00AD3CCC"/>
    <w:rsid w:val="00AD3CDA"/>
    <w:rsid w:val="00AD3D58"/>
    <w:rsid w:val="00AD41F0"/>
    <w:rsid w:val="00AD459A"/>
    <w:rsid w:val="00AD5101"/>
    <w:rsid w:val="00AD526D"/>
    <w:rsid w:val="00AD52E4"/>
    <w:rsid w:val="00AD52E6"/>
    <w:rsid w:val="00AD55BF"/>
    <w:rsid w:val="00AD60B0"/>
    <w:rsid w:val="00AD6A48"/>
    <w:rsid w:val="00AD7325"/>
    <w:rsid w:val="00AD74D9"/>
    <w:rsid w:val="00AD750B"/>
    <w:rsid w:val="00AD75A0"/>
    <w:rsid w:val="00AD78D5"/>
    <w:rsid w:val="00AE0564"/>
    <w:rsid w:val="00AE1274"/>
    <w:rsid w:val="00AE1515"/>
    <w:rsid w:val="00AE1E2C"/>
    <w:rsid w:val="00AE25D8"/>
    <w:rsid w:val="00AE27FF"/>
    <w:rsid w:val="00AE29BB"/>
    <w:rsid w:val="00AE2D36"/>
    <w:rsid w:val="00AE489C"/>
    <w:rsid w:val="00AE4B02"/>
    <w:rsid w:val="00AE50CC"/>
    <w:rsid w:val="00AE5160"/>
    <w:rsid w:val="00AE524C"/>
    <w:rsid w:val="00AE5879"/>
    <w:rsid w:val="00AE5948"/>
    <w:rsid w:val="00AE5BAE"/>
    <w:rsid w:val="00AE5BE4"/>
    <w:rsid w:val="00AE6205"/>
    <w:rsid w:val="00AE7381"/>
    <w:rsid w:val="00AE7512"/>
    <w:rsid w:val="00AF0293"/>
    <w:rsid w:val="00AF051B"/>
    <w:rsid w:val="00AF0B43"/>
    <w:rsid w:val="00AF0BBE"/>
    <w:rsid w:val="00AF0E4A"/>
    <w:rsid w:val="00AF0E9E"/>
    <w:rsid w:val="00AF0FC6"/>
    <w:rsid w:val="00AF0FF3"/>
    <w:rsid w:val="00AF1C54"/>
    <w:rsid w:val="00AF1D37"/>
    <w:rsid w:val="00AF205A"/>
    <w:rsid w:val="00AF279B"/>
    <w:rsid w:val="00AF2864"/>
    <w:rsid w:val="00AF2F1D"/>
    <w:rsid w:val="00AF33C9"/>
    <w:rsid w:val="00AF3414"/>
    <w:rsid w:val="00AF3784"/>
    <w:rsid w:val="00AF38F9"/>
    <w:rsid w:val="00AF3CF9"/>
    <w:rsid w:val="00AF3E3A"/>
    <w:rsid w:val="00AF4322"/>
    <w:rsid w:val="00AF4360"/>
    <w:rsid w:val="00AF4A53"/>
    <w:rsid w:val="00AF4CC0"/>
    <w:rsid w:val="00AF58DF"/>
    <w:rsid w:val="00AF61C4"/>
    <w:rsid w:val="00AF647B"/>
    <w:rsid w:val="00AF6D46"/>
    <w:rsid w:val="00AF7291"/>
    <w:rsid w:val="00B000CA"/>
    <w:rsid w:val="00B001AA"/>
    <w:rsid w:val="00B002A2"/>
    <w:rsid w:val="00B00446"/>
    <w:rsid w:val="00B01BEC"/>
    <w:rsid w:val="00B01CC5"/>
    <w:rsid w:val="00B021DF"/>
    <w:rsid w:val="00B02321"/>
    <w:rsid w:val="00B024B6"/>
    <w:rsid w:val="00B02EFC"/>
    <w:rsid w:val="00B02F50"/>
    <w:rsid w:val="00B0327E"/>
    <w:rsid w:val="00B03DAF"/>
    <w:rsid w:val="00B04415"/>
    <w:rsid w:val="00B044F5"/>
    <w:rsid w:val="00B0482F"/>
    <w:rsid w:val="00B055BB"/>
    <w:rsid w:val="00B056AA"/>
    <w:rsid w:val="00B05CF0"/>
    <w:rsid w:val="00B064B9"/>
    <w:rsid w:val="00B06F7D"/>
    <w:rsid w:val="00B07000"/>
    <w:rsid w:val="00B073F8"/>
    <w:rsid w:val="00B07515"/>
    <w:rsid w:val="00B07596"/>
    <w:rsid w:val="00B078B6"/>
    <w:rsid w:val="00B07A5D"/>
    <w:rsid w:val="00B1038B"/>
    <w:rsid w:val="00B107AD"/>
    <w:rsid w:val="00B10DE7"/>
    <w:rsid w:val="00B10DFD"/>
    <w:rsid w:val="00B10EDB"/>
    <w:rsid w:val="00B110E1"/>
    <w:rsid w:val="00B111B9"/>
    <w:rsid w:val="00B116E0"/>
    <w:rsid w:val="00B1208A"/>
    <w:rsid w:val="00B12942"/>
    <w:rsid w:val="00B12F3D"/>
    <w:rsid w:val="00B13709"/>
    <w:rsid w:val="00B1456E"/>
    <w:rsid w:val="00B14B46"/>
    <w:rsid w:val="00B15952"/>
    <w:rsid w:val="00B16786"/>
    <w:rsid w:val="00B16DD6"/>
    <w:rsid w:val="00B16DE3"/>
    <w:rsid w:val="00B1709B"/>
    <w:rsid w:val="00B174A5"/>
    <w:rsid w:val="00B175F6"/>
    <w:rsid w:val="00B17D9B"/>
    <w:rsid w:val="00B17E4B"/>
    <w:rsid w:val="00B17E73"/>
    <w:rsid w:val="00B17ED9"/>
    <w:rsid w:val="00B17FC8"/>
    <w:rsid w:val="00B20081"/>
    <w:rsid w:val="00B20098"/>
    <w:rsid w:val="00B20495"/>
    <w:rsid w:val="00B2059F"/>
    <w:rsid w:val="00B20C9F"/>
    <w:rsid w:val="00B21838"/>
    <w:rsid w:val="00B2266B"/>
    <w:rsid w:val="00B226DE"/>
    <w:rsid w:val="00B228E8"/>
    <w:rsid w:val="00B2299B"/>
    <w:rsid w:val="00B22C40"/>
    <w:rsid w:val="00B22D37"/>
    <w:rsid w:val="00B23167"/>
    <w:rsid w:val="00B23249"/>
    <w:rsid w:val="00B236B1"/>
    <w:rsid w:val="00B23809"/>
    <w:rsid w:val="00B23F4A"/>
    <w:rsid w:val="00B24367"/>
    <w:rsid w:val="00B24743"/>
    <w:rsid w:val="00B24968"/>
    <w:rsid w:val="00B24B2C"/>
    <w:rsid w:val="00B256DC"/>
    <w:rsid w:val="00B25997"/>
    <w:rsid w:val="00B25DD2"/>
    <w:rsid w:val="00B25E59"/>
    <w:rsid w:val="00B26D5F"/>
    <w:rsid w:val="00B27012"/>
    <w:rsid w:val="00B270E5"/>
    <w:rsid w:val="00B2750C"/>
    <w:rsid w:val="00B2768C"/>
    <w:rsid w:val="00B279CA"/>
    <w:rsid w:val="00B27A63"/>
    <w:rsid w:val="00B30192"/>
    <w:rsid w:val="00B30292"/>
    <w:rsid w:val="00B307AA"/>
    <w:rsid w:val="00B31709"/>
    <w:rsid w:val="00B31A72"/>
    <w:rsid w:val="00B32004"/>
    <w:rsid w:val="00B3204F"/>
    <w:rsid w:val="00B3258B"/>
    <w:rsid w:val="00B328F2"/>
    <w:rsid w:val="00B32B12"/>
    <w:rsid w:val="00B32B81"/>
    <w:rsid w:val="00B3305D"/>
    <w:rsid w:val="00B33170"/>
    <w:rsid w:val="00B338FD"/>
    <w:rsid w:val="00B33FF1"/>
    <w:rsid w:val="00B3410C"/>
    <w:rsid w:val="00B342CA"/>
    <w:rsid w:val="00B3519B"/>
    <w:rsid w:val="00B35DD9"/>
    <w:rsid w:val="00B366AF"/>
    <w:rsid w:val="00B36A80"/>
    <w:rsid w:val="00B36AFB"/>
    <w:rsid w:val="00B36CC5"/>
    <w:rsid w:val="00B37A19"/>
    <w:rsid w:val="00B37DCB"/>
    <w:rsid w:val="00B401BD"/>
    <w:rsid w:val="00B40354"/>
    <w:rsid w:val="00B4041E"/>
    <w:rsid w:val="00B40440"/>
    <w:rsid w:val="00B41225"/>
    <w:rsid w:val="00B41441"/>
    <w:rsid w:val="00B41B27"/>
    <w:rsid w:val="00B41BFE"/>
    <w:rsid w:val="00B421F5"/>
    <w:rsid w:val="00B422D1"/>
    <w:rsid w:val="00B4234C"/>
    <w:rsid w:val="00B42517"/>
    <w:rsid w:val="00B42DF9"/>
    <w:rsid w:val="00B42FFF"/>
    <w:rsid w:val="00B4663F"/>
    <w:rsid w:val="00B4676A"/>
    <w:rsid w:val="00B46918"/>
    <w:rsid w:val="00B46D03"/>
    <w:rsid w:val="00B46F13"/>
    <w:rsid w:val="00B47170"/>
    <w:rsid w:val="00B472DC"/>
    <w:rsid w:val="00B4751E"/>
    <w:rsid w:val="00B477EF"/>
    <w:rsid w:val="00B47B12"/>
    <w:rsid w:val="00B501CF"/>
    <w:rsid w:val="00B505A3"/>
    <w:rsid w:val="00B50603"/>
    <w:rsid w:val="00B50611"/>
    <w:rsid w:val="00B50879"/>
    <w:rsid w:val="00B50D99"/>
    <w:rsid w:val="00B50E5A"/>
    <w:rsid w:val="00B5130F"/>
    <w:rsid w:val="00B51971"/>
    <w:rsid w:val="00B52298"/>
    <w:rsid w:val="00B5263A"/>
    <w:rsid w:val="00B53926"/>
    <w:rsid w:val="00B53E64"/>
    <w:rsid w:val="00B53F18"/>
    <w:rsid w:val="00B541F8"/>
    <w:rsid w:val="00B54DA8"/>
    <w:rsid w:val="00B55349"/>
    <w:rsid w:val="00B55A86"/>
    <w:rsid w:val="00B55D98"/>
    <w:rsid w:val="00B563DA"/>
    <w:rsid w:val="00B567D9"/>
    <w:rsid w:val="00B57239"/>
    <w:rsid w:val="00B57548"/>
    <w:rsid w:val="00B5760B"/>
    <w:rsid w:val="00B57955"/>
    <w:rsid w:val="00B57F83"/>
    <w:rsid w:val="00B60320"/>
    <w:rsid w:val="00B604E5"/>
    <w:rsid w:val="00B607B6"/>
    <w:rsid w:val="00B61845"/>
    <w:rsid w:val="00B61F55"/>
    <w:rsid w:val="00B62D02"/>
    <w:rsid w:val="00B62D23"/>
    <w:rsid w:val="00B63095"/>
    <w:rsid w:val="00B6382D"/>
    <w:rsid w:val="00B639E4"/>
    <w:rsid w:val="00B6446D"/>
    <w:rsid w:val="00B64804"/>
    <w:rsid w:val="00B64880"/>
    <w:rsid w:val="00B65505"/>
    <w:rsid w:val="00B669E7"/>
    <w:rsid w:val="00B67164"/>
    <w:rsid w:val="00B6757E"/>
    <w:rsid w:val="00B67A99"/>
    <w:rsid w:val="00B67C4B"/>
    <w:rsid w:val="00B67CC8"/>
    <w:rsid w:val="00B67ECD"/>
    <w:rsid w:val="00B70097"/>
    <w:rsid w:val="00B70AD4"/>
    <w:rsid w:val="00B70C26"/>
    <w:rsid w:val="00B70C40"/>
    <w:rsid w:val="00B70CFE"/>
    <w:rsid w:val="00B70D5D"/>
    <w:rsid w:val="00B712D7"/>
    <w:rsid w:val="00B71B65"/>
    <w:rsid w:val="00B71DE9"/>
    <w:rsid w:val="00B7278D"/>
    <w:rsid w:val="00B729EE"/>
    <w:rsid w:val="00B72B83"/>
    <w:rsid w:val="00B72F66"/>
    <w:rsid w:val="00B739FA"/>
    <w:rsid w:val="00B73A7E"/>
    <w:rsid w:val="00B750A4"/>
    <w:rsid w:val="00B75A39"/>
    <w:rsid w:val="00B75CBE"/>
    <w:rsid w:val="00B75E03"/>
    <w:rsid w:val="00B76453"/>
    <w:rsid w:val="00B766C7"/>
    <w:rsid w:val="00B767B9"/>
    <w:rsid w:val="00B76EA5"/>
    <w:rsid w:val="00B772FC"/>
    <w:rsid w:val="00B77677"/>
    <w:rsid w:val="00B77F0C"/>
    <w:rsid w:val="00B80377"/>
    <w:rsid w:val="00B804E6"/>
    <w:rsid w:val="00B80BDA"/>
    <w:rsid w:val="00B80F40"/>
    <w:rsid w:val="00B810C2"/>
    <w:rsid w:val="00B81432"/>
    <w:rsid w:val="00B8199B"/>
    <w:rsid w:val="00B81ACF"/>
    <w:rsid w:val="00B81F47"/>
    <w:rsid w:val="00B82109"/>
    <w:rsid w:val="00B8262E"/>
    <w:rsid w:val="00B82B09"/>
    <w:rsid w:val="00B82D58"/>
    <w:rsid w:val="00B832E5"/>
    <w:rsid w:val="00B833C4"/>
    <w:rsid w:val="00B83886"/>
    <w:rsid w:val="00B83B81"/>
    <w:rsid w:val="00B83DB7"/>
    <w:rsid w:val="00B84D9D"/>
    <w:rsid w:val="00B854D2"/>
    <w:rsid w:val="00B85647"/>
    <w:rsid w:val="00B85796"/>
    <w:rsid w:val="00B857FF"/>
    <w:rsid w:val="00B86158"/>
    <w:rsid w:val="00B8633E"/>
    <w:rsid w:val="00B86658"/>
    <w:rsid w:val="00B869AB"/>
    <w:rsid w:val="00B86B37"/>
    <w:rsid w:val="00B8751B"/>
    <w:rsid w:val="00B8772D"/>
    <w:rsid w:val="00B87A09"/>
    <w:rsid w:val="00B9030E"/>
    <w:rsid w:val="00B903F9"/>
    <w:rsid w:val="00B90557"/>
    <w:rsid w:val="00B9096A"/>
    <w:rsid w:val="00B931AD"/>
    <w:rsid w:val="00B9326B"/>
    <w:rsid w:val="00B93601"/>
    <w:rsid w:val="00B9396E"/>
    <w:rsid w:val="00B9428C"/>
    <w:rsid w:val="00B943FA"/>
    <w:rsid w:val="00B947EC"/>
    <w:rsid w:val="00B94B15"/>
    <w:rsid w:val="00B95639"/>
    <w:rsid w:val="00B95B4B"/>
    <w:rsid w:val="00B95B74"/>
    <w:rsid w:val="00B961C8"/>
    <w:rsid w:val="00B96B17"/>
    <w:rsid w:val="00B971FD"/>
    <w:rsid w:val="00B97A2D"/>
    <w:rsid w:val="00BA0543"/>
    <w:rsid w:val="00BA0745"/>
    <w:rsid w:val="00BA1E2C"/>
    <w:rsid w:val="00BA1E71"/>
    <w:rsid w:val="00BA1F61"/>
    <w:rsid w:val="00BA23B5"/>
    <w:rsid w:val="00BA264E"/>
    <w:rsid w:val="00BA26F7"/>
    <w:rsid w:val="00BA2CAB"/>
    <w:rsid w:val="00BA2DAA"/>
    <w:rsid w:val="00BA2DF8"/>
    <w:rsid w:val="00BA3B10"/>
    <w:rsid w:val="00BA44A6"/>
    <w:rsid w:val="00BA4D83"/>
    <w:rsid w:val="00BA59DD"/>
    <w:rsid w:val="00BA5D45"/>
    <w:rsid w:val="00BA62F9"/>
    <w:rsid w:val="00BA6A87"/>
    <w:rsid w:val="00BA6C3A"/>
    <w:rsid w:val="00BA7796"/>
    <w:rsid w:val="00BA7F3B"/>
    <w:rsid w:val="00BB005A"/>
    <w:rsid w:val="00BB0B76"/>
    <w:rsid w:val="00BB0D11"/>
    <w:rsid w:val="00BB10D0"/>
    <w:rsid w:val="00BB1974"/>
    <w:rsid w:val="00BB1CAB"/>
    <w:rsid w:val="00BB1D3D"/>
    <w:rsid w:val="00BB2A8C"/>
    <w:rsid w:val="00BB2E4A"/>
    <w:rsid w:val="00BB2E80"/>
    <w:rsid w:val="00BB3600"/>
    <w:rsid w:val="00BB4153"/>
    <w:rsid w:val="00BB4456"/>
    <w:rsid w:val="00BB479A"/>
    <w:rsid w:val="00BB4AED"/>
    <w:rsid w:val="00BB4CF1"/>
    <w:rsid w:val="00BB548C"/>
    <w:rsid w:val="00BB56BA"/>
    <w:rsid w:val="00BB59D3"/>
    <w:rsid w:val="00BB5BB0"/>
    <w:rsid w:val="00BB5E5A"/>
    <w:rsid w:val="00BB6228"/>
    <w:rsid w:val="00BB655B"/>
    <w:rsid w:val="00BB6576"/>
    <w:rsid w:val="00BB668A"/>
    <w:rsid w:val="00BB66FB"/>
    <w:rsid w:val="00BB6725"/>
    <w:rsid w:val="00BB6CE4"/>
    <w:rsid w:val="00BB6F46"/>
    <w:rsid w:val="00BB70E3"/>
    <w:rsid w:val="00BB733E"/>
    <w:rsid w:val="00BB7B1A"/>
    <w:rsid w:val="00BB7D9B"/>
    <w:rsid w:val="00BB7FCA"/>
    <w:rsid w:val="00BC0FCD"/>
    <w:rsid w:val="00BC1518"/>
    <w:rsid w:val="00BC1609"/>
    <w:rsid w:val="00BC193E"/>
    <w:rsid w:val="00BC1A2E"/>
    <w:rsid w:val="00BC1B49"/>
    <w:rsid w:val="00BC20A2"/>
    <w:rsid w:val="00BC2603"/>
    <w:rsid w:val="00BC272F"/>
    <w:rsid w:val="00BC295F"/>
    <w:rsid w:val="00BC3604"/>
    <w:rsid w:val="00BC3985"/>
    <w:rsid w:val="00BC3A69"/>
    <w:rsid w:val="00BC3CE0"/>
    <w:rsid w:val="00BC4124"/>
    <w:rsid w:val="00BC44EB"/>
    <w:rsid w:val="00BC4D07"/>
    <w:rsid w:val="00BC4D09"/>
    <w:rsid w:val="00BC4F6B"/>
    <w:rsid w:val="00BC4FCE"/>
    <w:rsid w:val="00BC5A52"/>
    <w:rsid w:val="00BC5CCD"/>
    <w:rsid w:val="00BC651F"/>
    <w:rsid w:val="00BC6672"/>
    <w:rsid w:val="00BC7148"/>
    <w:rsid w:val="00BC7801"/>
    <w:rsid w:val="00BC7982"/>
    <w:rsid w:val="00BC7A2C"/>
    <w:rsid w:val="00BD02E6"/>
    <w:rsid w:val="00BD03C1"/>
    <w:rsid w:val="00BD0D8C"/>
    <w:rsid w:val="00BD0D91"/>
    <w:rsid w:val="00BD0E1B"/>
    <w:rsid w:val="00BD1257"/>
    <w:rsid w:val="00BD14AB"/>
    <w:rsid w:val="00BD17AE"/>
    <w:rsid w:val="00BD1AB1"/>
    <w:rsid w:val="00BD2751"/>
    <w:rsid w:val="00BD2D20"/>
    <w:rsid w:val="00BD2D64"/>
    <w:rsid w:val="00BD3566"/>
    <w:rsid w:val="00BD3737"/>
    <w:rsid w:val="00BD3EB0"/>
    <w:rsid w:val="00BD46BB"/>
    <w:rsid w:val="00BD58EB"/>
    <w:rsid w:val="00BD59F2"/>
    <w:rsid w:val="00BD5E5F"/>
    <w:rsid w:val="00BD6482"/>
    <w:rsid w:val="00BD71E0"/>
    <w:rsid w:val="00BD751C"/>
    <w:rsid w:val="00BD77FE"/>
    <w:rsid w:val="00BD7E77"/>
    <w:rsid w:val="00BD7FED"/>
    <w:rsid w:val="00BE0047"/>
    <w:rsid w:val="00BE01DC"/>
    <w:rsid w:val="00BE0501"/>
    <w:rsid w:val="00BE066D"/>
    <w:rsid w:val="00BE08A7"/>
    <w:rsid w:val="00BE0BC4"/>
    <w:rsid w:val="00BE122F"/>
    <w:rsid w:val="00BE1837"/>
    <w:rsid w:val="00BE18C4"/>
    <w:rsid w:val="00BE2214"/>
    <w:rsid w:val="00BE24E1"/>
    <w:rsid w:val="00BE24E2"/>
    <w:rsid w:val="00BE2B7A"/>
    <w:rsid w:val="00BE3A9F"/>
    <w:rsid w:val="00BE3B08"/>
    <w:rsid w:val="00BE3D8F"/>
    <w:rsid w:val="00BE3E5A"/>
    <w:rsid w:val="00BE3E93"/>
    <w:rsid w:val="00BE3FEC"/>
    <w:rsid w:val="00BE4388"/>
    <w:rsid w:val="00BE45FC"/>
    <w:rsid w:val="00BE4881"/>
    <w:rsid w:val="00BE49E3"/>
    <w:rsid w:val="00BE4D86"/>
    <w:rsid w:val="00BE4D94"/>
    <w:rsid w:val="00BE5337"/>
    <w:rsid w:val="00BE53E0"/>
    <w:rsid w:val="00BE5559"/>
    <w:rsid w:val="00BE55FD"/>
    <w:rsid w:val="00BE5B28"/>
    <w:rsid w:val="00BE6295"/>
    <w:rsid w:val="00BE63E1"/>
    <w:rsid w:val="00BE6511"/>
    <w:rsid w:val="00BE674F"/>
    <w:rsid w:val="00BE6937"/>
    <w:rsid w:val="00BE6A9E"/>
    <w:rsid w:val="00BE7445"/>
    <w:rsid w:val="00BE7555"/>
    <w:rsid w:val="00BE7998"/>
    <w:rsid w:val="00BF040D"/>
    <w:rsid w:val="00BF0443"/>
    <w:rsid w:val="00BF09E9"/>
    <w:rsid w:val="00BF1488"/>
    <w:rsid w:val="00BF171E"/>
    <w:rsid w:val="00BF196E"/>
    <w:rsid w:val="00BF2613"/>
    <w:rsid w:val="00BF3A54"/>
    <w:rsid w:val="00BF3B41"/>
    <w:rsid w:val="00BF3C9E"/>
    <w:rsid w:val="00BF3FD4"/>
    <w:rsid w:val="00BF413B"/>
    <w:rsid w:val="00BF4A79"/>
    <w:rsid w:val="00BF4FB9"/>
    <w:rsid w:val="00BF501B"/>
    <w:rsid w:val="00BF50E1"/>
    <w:rsid w:val="00BF5B82"/>
    <w:rsid w:val="00BF5BC2"/>
    <w:rsid w:val="00BF5C3C"/>
    <w:rsid w:val="00BF679D"/>
    <w:rsid w:val="00C00077"/>
    <w:rsid w:val="00C022C1"/>
    <w:rsid w:val="00C02AF7"/>
    <w:rsid w:val="00C02BE2"/>
    <w:rsid w:val="00C02E46"/>
    <w:rsid w:val="00C02F10"/>
    <w:rsid w:val="00C030E8"/>
    <w:rsid w:val="00C0352B"/>
    <w:rsid w:val="00C03B53"/>
    <w:rsid w:val="00C03D00"/>
    <w:rsid w:val="00C03E87"/>
    <w:rsid w:val="00C042CD"/>
    <w:rsid w:val="00C048D6"/>
    <w:rsid w:val="00C04953"/>
    <w:rsid w:val="00C04D12"/>
    <w:rsid w:val="00C050A0"/>
    <w:rsid w:val="00C051EA"/>
    <w:rsid w:val="00C053FC"/>
    <w:rsid w:val="00C0562C"/>
    <w:rsid w:val="00C05862"/>
    <w:rsid w:val="00C05F7C"/>
    <w:rsid w:val="00C05FC8"/>
    <w:rsid w:val="00C06525"/>
    <w:rsid w:val="00C06531"/>
    <w:rsid w:val="00C0664D"/>
    <w:rsid w:val="00C066EF"/>
    <w:rsid w:val="00C068FF"/>
    <w:rsid w:val="00C06EEB"/>
    <w:rsid w:val="00C07676"/>
    <w:rsid w:val="00C078DC"/>
    <w:rsid w:val="00C07CB9"/>
    <w:rsid w:val="00C100DD"/>
    <w:rsid w:val="00C10308"/>
    <w:rsid w:val="00C10473"/>
    <w:rsid w:val="00C10824"/>
    <w:rsid w:val="00C111F1"/>
    <w:rsid w:val="00C1140C"/>
    <w:rsid w:val="00C1191E"/>
    <w:rsid w:val="00C11BBC"/>
    <w:rsid w:val="00C11BD4"/>
    <w:rsid w:val="00C11BF6"/>
    <w:rsid w:val="00C11EE7"/>
    <w:rsid w:val="00C12262"/>
    <w:rsid w:val="00C12E07"/>
    <w:rsid w:val="00C13157"/>
    <w:rsid w:val="00C134B8"/>
    <w:rsid w:val="00C13A4B"/>
    <w:rsid w:val="00C1424E"/>
    <w:rsid w:val="00C14BDA"/>
    <w:rsid w:val="00C1502F"/>
    <w:rsid w:val="00C15D5E"/>
    <w:rsid w:val="00C15F9D"/>
    <w:rsid w:val="00C16015"/>
    <w:rsid w:val="00C168BA"/>
    <w:rsid w:val="00C168CE"/>
    <w:rsid w:val="00C17330"/>
    <w:rsid w:val="00C1782E"/>
    <w:rsid w:val="00C205D3"/>
    <w:rsid w:val="00C2060C"/>
    <w:rsid w:val="00C20C62"/>
    <w:rsid w:val="00C20CAC"/>
    <w:rsid w:val="00C2140C"/>
    <w:rsid w:val="00C21869"/>
    <w:rsid w:val="00C2201E"/>
    <w:rsid w:val="00C2258E"/>
    <w:rsid w:val="00C2282D"/>
    <w:rsid w:val="00C22C35"/>
    <w:rsid w:val="00C22D59"/>
    <w:rsid w:val="00C231C4"/>
    <w:rsid w:val="00C23253"/>
    <w:rsid w:val="00C234BF"/>
    <w:rsid w:val="00C235CB"/>
    <w:rsid w:val="00C238D3"/>
    <w:rsid w:val="00C23B9B"/>
    <w:rsid w:val="00C241A3"/>
    <w:rsid w:val="00C24C40"/>
    <w:rsid w:val="00C25864"/>
    <w:rsid w:val="00C258D8"/>
    <w:rsid w:val="00C25E53"/>
    <w:rsid w:val="00C27300"/>
    <w:rsid w:val="00C274A4"/>
    <w:rsid w:val="00C30703"/>
    <w:rsid w:val="00C313ED"/>
    <w:rsid w:val="00C3144E"/>
    <w:rsid w:val="00C315A4"/>
    <w:rsid w:val="00C3197E"/>
    <w:rsid w:val="00C319B9"/>
    <w:rsid w:val="00C32083"/>
    <w:rsid w:val="00C323F4"/>
    <w:rsid w:val="00C326B2"/>
    <w:rsid w:val="00C3284F"/>
    <w:rsid w:val="00C32FAF"/>
    <w:rsid w:val="00C33220"/>
    <w:rsid w:val="00C334B3"/>
    <w:rsid w:val="00C33BB0"/>
    <w:rsid w:val="00C342FC"/>
    <w:rsid w:val="00C34511"/>
    <w:rsid w:val="00C34824"/>
    <w:rsid w:val="00C350D7"/>
    <w:rsid w:val="00C357A9"/>
    <w:rsid w:val="00C36E2A"/>
    <w:rsid w:val="00C37120"/>
    <w:rsid w:val="00C37BE6"/>
    <w:rsid w:val="00C40125"/>
    <w:rsid w:val="00C409B3"/>
    <w:rsid w:val="00C412F3"/>
    <w:rsid w:val="00C416C0"/>
    <w:rsid w:val="00C421E9"/>
    <w:rsid w:val="00C42C00"/>
    <w:rsid w:val="00C42FDD"/>
    <w:rsid w:val="00C43AA7"/>
    <w:rsid w:val="00C43F04"/>
    <w:rsid w:val="00C44687"/>
    <w:rsid w:val="00C44BFF"/>
    <w:rsid w:val="00C450F8"/>
    <w:rsid w:val="00C45510"/>
    <w:rsid w:val="00C45930"/>
    <w:rsid w:val="00C461EB"/>
    <w:rsid w:val="00C4649D"/>
    <w:rsid w:val="00C465CC"/>
    <w:rsid w:val="00C4667B"/>
    <w:rsid w:val="00C466A3"/>
    <w:rsid w:val="00C46A51"/>
    <w:rsid w:val="00C47050"/>
    <w:rsid w:val="00C470D0"/>
    <w:rsid w:val="00C471BA"/>
    <w:rsid w:val="00C47238"/>
    <w:rsid w:val="00C473AE"/>
    <w:rsid w:val="00C47682"/>
    <w:rsid w:val="00C479CA"/>
    <w:rsid w:val="00C502CD"/>
    <w:rsid w:val="00C505CC"/>
    <w:rsid w:val="00C506DB"/>
    <w:rsid w:val="00C508EC"/>
    <w:rsid w:val="00C50C94"/>
    <w:rsid w:val="00C510A4"/>
    <w:rsid w:val="00C511F4"/>
    <w:rsid w:val="00C5130A"/>
    <w:rsid w:val="00C5184E"/>
    <w:rsid w:val="00C51D80"/>
    <w:rsid w:val="00C5260A"/>
    <w:rsid w:val="00C52BD5"/>
    <w:rsid w:val="00C52E84"/>
    <w:rsid w:val="00C5300A"/>
    <w:rsid w:val="00C530B1"/>
    <w:rsid w:val="00C5355B"/>
    <w:rsid w:val="00C53655"/>
    <w:rsid w:val="00C53A17"/>
    <w:rsid w:val="00C53BB1"/>
    <w:rsid w:val="00C53F67"/>
    <w:rsid w:val="00C54825"/>
    <w:rsid w:val="00C54A82"/>
    <w:rsid w:val="00C54D36"/>
    <w:rsid w:val="00C550D3"/>
    <w:rsid w:val="00C5594E"/>
    <w:rsid w:val="00C563C4"/>
    <w:rsid w:val="00C56612"/>
    <w:rsid w:val="00C56868"/>
    <w:rsid w:val="00C568DE"/>
    <w:rsid w:val="00C56E74"/>
    <w:rsid w:val="00C56F5B"/>
    <w:rsid w:val="00C5744C"/>
    <w:rsid w:val="00C5763E"/>
    <w:rsid w:val="00C576B6"/>
    <w:rsid w:val="00C57BD2"/>
    <w:rsid w:val="00C57F16"/>
    <w:rsid w:val="00C600E0"/>
    <w:rsid w:val="00C6076A"/>
    <w:rsid w:val="00C612E6"/>
    <w:rsid w:val="00C616CD"/>
    <w:rsid w:val="00C618E7"/>
    <w:rsid w:val="00C61D98"/>
    <w:rsid w:val="00C61DDA"/>
    <w:rsid w:val="00C6282A"/>
    <w:rsid w:val="00C62C5C"/>
    <w:rsid w:val="00C62DFD"/>
    <w:rsid w:val="00C63C2E"/>
    <w:rsid w:val="00C64078"/>
    <w:rsid w:val="00C64547"/>
    <w:rsid w:val="00C649F5"/>
    <w:rsid w:val="00C64FDA"/>
    <w:rsid w:val="00C65095"/>
    <w:rsid w:val="00C654DA"/>
    <w:rsid w:val="00C65A88"/>
    <w:rsid w:val="00C664A7"/>
    <w:rsid w:val="00C66555"/>
    <w:rsid w:val="00C66986"/>
    <w:rsid w:val="00C66AFD"/>
    <w:rsid w:val="00C66D12"/>
    <w:rsid w:val="00C66EC0"/>
    <w:rsid w:val="00C677B0"/>
    <w:rsid w:val="00C67AAB"/>
    <w:rsid w:val="00C703BF"/>
    <w:rsid w:val="00C703E4"/>
    <w:rsid w:val="00C7057D"/>
    <w:rsid w:val="00C70641"/>
    <w:rsid w:val="00C71EFF"/>
    <w:rsid w:val="00C72122"/>
    <w:rsid w:val="00C721E7"/>
    <w:rsid w:val="00C72217"/>
    <w:rsid w:val="00C73179"/>
    <w:rsid w:val="00C737A1"/>
    <w:rsid w:val="00C73B68"/>
    <w:rsid w:val="00C73C47"/>
    <w:rsid w:val="00C74305"/>
    <w:rsid w:val="00C748ED"/>
    <w:rsid w:val="00C74D14"/>
    <w:rsid w:val="00C750D3"/>
    <w:rsid w:val="00C756F2"/>
    <w:rsid w:val="00C75854"/>
    <w:rsid w:val="00C75874"/>
    <w:rsid w:val="00C75A0A"/>
    <w:rsid w:val="00C75AE2"/>
    <w:rsid w:val="00C763C5"/>
    <w:rsid w:val="00C76B2B"/>
    <w:rsid w:val="00C76B3E"/>
    <w:rsid w:val="00C76D58"/>
    <w:rsid w:val="00C77084"/>
    <w:rsid w:val="00C77FF7"/>
    <w:rsid w:val="00C80216"/>
    <w:rsid w:val="00C806D7"/>
    <w:rsid w:val="00C808D8"/>
    <w:rsid w:val="00C80CDA"/>
    <w:rsid w:val="00C80E08"/>
    <w:rsid w:val="00C80E12"/>
    <w:rsid w:val="00C81071"/>
    <w:rsid w:val="00C82032"/>
    <w:rsid w:val="00C823CA"/>
    <w:rsid w:val="00C8281C"/>
    <w:rsid w:val="00C82AC0"/>
    <w:rsid w:val="00C82E16"/>
    <w:rsid w:val="00C82EAD"/>
    <w:rsid w:val="00C832EE"/>
    <w:rsid w:val="00C83672"/>
    <w:rsid w:val="00C83730"/>
    <w:rsid w:val="00C83AD5"/>
    <w:rsid w:val="00C840C6"/>
    <w:rsid w:val="00C84169"/>
    <w:rsid w:val="00C84F0C"/>
    <w:rsid w:val="00C85020"/>
    <w:rsid w:val="00C852FD"/>
    <w:rsid w:val="00C85419"/>
    <w:rsid w:val="00C85909"/>
    <w:rsid w:val="00C86300"/>
    <w:rsid w:val="00C86F81"/>
    <w:rsid w:val="00C873B3"/>
    <w:rsid w:val="00C90203"/>
    <w:rsid w:val="00C903F6"/>
    <w:rsid w:val="00C908F1"/>
    <w:rsid w:val="00C921CD"/>
    <w:rsid w:val="00C93103"/>
    <w:rsid w:val="00C93476"/>
    <w:rsid w:val="00C9396A"/>
    <w:rsid w:val="00C93A53"/>
    <w:rsid w:val="00C93F14"/>
    <w:rsid w:val="00C9438B"/>
    <w:rsid w:val="00C94915"/>
    <w:rsid w:val="00C95C43"/>
    <w:rsid w:val="00C95CD6"/>
    <w:rsid w:val="00C95FFC"/>
    <w:rsid w:val="00C961E5"/>
    <w:rsid w:val="00C9647E"/>
    <w:rsid w:val="00C96DB6"/>
    <w:rsid w:val="00C97388"/>
    <w:rsid w:val="00C97AEA"/>
    <w:rsid w:val="00C97BD8"/>
    <w:rsid w:val="00C97E40"/>
    <w:rsid w:val="00CA04B9"/>
    <w:rsid w:val="00CA0BE0"/>
    <w:rsid w:val="00CA127D"/>
    <w:rsid w:val="00CA13A0"/>
    <w:rsid w:val="00CA3236"/>
    <w:rsid w:val="00CA3564"/>
    <w:rsid w:val="00CA361A"/>
    <w:rsid w:val="00CA3C02"/>
    <w:rsid w:val="00CA4742"/>
    <w:rsid w:val="00CA4B25"/>
    <w:rsid w:val="00CA52D0"/>
    <w:rsid w:val="00CA55D6"/>
    <w:rsid w:val="00CA5BD1"/>
    <w:rsid w:val="00CA64DA"/>
    <w:rsid w:val="00CA6541"/>
    <w:rsid w:val="00CA6749"/>
    <w:rsid w:val="00CA69A8"/>
    <w:rsid w:val="00CA7169"/>
    <w:rsid w:val="00CA71EC"/>
    <w:rsid w:val="00CA7AA4"/>
    <w:rsid w:val="00CB00BB"/>
    <w:rsid w:val="00CB02DA"/>
    <w:rsid w:val="00CB0421"/>
    <w:rsid w:val="00CB165A"/>
    <w:rsid w:val="00CB1C8A"/>
    <w:rsid w:val="00CB1E41"/>
    <w:rsid w:val="00CB20E7"/>
    <w:rsid w:val="00CB266A"/>
    <w:rsid w:val="00CB3170"/>
    <w:rsid w:val="00CB358D"/>
    <w:rsid w:val="00CB3696"/>
    <w:rsid w:val="00CB3A37"/>
    <w:rsid w:val="00CB3E03"/>
    <w:rsid w:val="00CB3EC2"/>
    <w:rsid w:val="00CB41BB"/>
    <w:rsid w:val="00CB472C"/>
    <w:rsid w:val="00CB48B3"/>
    <w:rsid w:val="00CB4AA3"/>
    <w:rsid w:val="00CB4D63"/>
    <w:rsid w:val="00CB4EA1"/>
    <w:rsid w:val="00CB4F6C"/>
    <w:rsid w:val="00CB4F73"/>
    <w:rsid w:val="00CB5632"/>
    <w:rsid w:val="00CB5953"/>
    <w:rsid w:val="00CB5A23"/>
    <w:rsid w:val="00CB61E4"/>
    <w:rsid w:val="00CB660D"/>
    <w:rsid w:val="00CB66CB"/>
    <w:rsid w:val="00CB68E6"/>
    <w:rsid w:val="00CB7C9F"/>
    <w:rsid w:val="00CC025F"/>
    <w:rsid w:val="00CC02AD"/>
    <w:rsid w:val="00CC06E3"/>
    <w:rsid w:val="00CC0AD7"/>
    <w:rsid w:val="00CC1A12"/>
    <w:rsid w:val="00CC1A73"/>
    <w:rsid w:val="00CC22A3"/>
    <w:rsid w:val="00CC296B"/>
    <w:rsid w:val="00CC2B17"/>
    <w:rsid w:val="00CC2B6B"/>
    <w:rsid w:val="00CC3DB0"/>
    <w:rsid w:val="00CC426C"/>
    <w:rsid w:val="00CC49B3"/>
    <w:rsid w:val="00CC4E28"/>
    <w:rsid w:val="00CC522B"/>
    <w:rsid w:val="00CC5273"/>
    <w:rsid w:val="00CC52B0"/>
    <w:rsid w:val="00CC5AEF"/>
    <w:rsid w:val="00CC5F95"/>
    <w:rsid w:val="00CC5F9A"/>
    <w:rsid w:val="00CC6351"/>
    <w:rsid w:val="00CC64EC"/>
    <w:rsid w:val="00CC65EC"/>
    <w:rsid w:val="00CC69F3"/>
    <w:rsid w:val="00CC7070"/>
    <w:rsid w:val="00CD0207"/>
    <w:rsid w:val="00CD0579"/>
    <w:rsid w:val="00CD0B03"/>
    <w:rsid w:val="00CD0B29"/>
    <w:rsid w:val="00CD0DF2"/>
    <w:rsid w:val="00CD0F2E"/>
    <w:rsid w:val="00CD150F"/>
    <w:rsid w:val="00CD290A"/>
    <w:rsid w:val="00CD2C3C"/>
    <w:rsid w:val="00CD30D4"/>
    <w:rsid w:val="00CD3624"/>
    <w:rsid w:val="00CD3A4C"/>
    <w:rsid w:val="00CD3B3D"/>
    <w:rsid w:val="00CD3DBC"/>
    <w:rsid w:val="00CD43DC"/>
    <w:rsid w:val="00CD455A"/>
    <w:rsid w:val="00CD4747"/>
    <w:rsid w:val="00CD4E22"/>
    <w:rsid w:val="00CD4F3D"/>
    <w:rsid w:val="00CD55BB"/>
    <w:rsid w:val="00CD56EA"/>
    <w:rsid w:val="00CD58A6"/>
    <w:rsid w:val="00CD5A26"/>
    <w:rsid w:val="00CD5D9D"/>
    <w:rsid w:val="00CD6781"/>
    <w:rsid w:val="00CD6A98"/>
    <w:rsid w:val="00CD6CC7"/>
    <w:rsid w:val="00CD6D68"/>
    <w:rsid w:val="00CD708B"/>
    <w:rsid w:val="00CD72BF"/>
    <w:rsid w:val="00CD74E0"/>
    <w:rsid w:val="00CD759C"/>
    <w:rsid w:val="00CD7D05"/>
    <w:rsid w:val="00CE00D6"/>
    <w:rsid w:val="00CE06FC"/>
    <w:rsid w:val="00CE0A17"/>
    <w:rsid w:val="00CE0B0C"/>
    <w:rsid w:val="00CE0F58"/>
    <w:rsid w:val="00CE112D"/>
    <w:rsid w:val="00CE16A5"/>
    <w:rsid w:val="00CE2550"/>
    <w:rsid w:val="00CE2581"/>
    <w:rsid w:val="00CE2FCE"/>
    <w:rsid w:val="00CE36BA"/>
    <w:rsid w:val="00CE371A"/>
    <w:rsid w:val="00CE37A8"/>
    <w:rsid w:val="00CE4811"/>
    <w:rsid w:val="00CE4EC1"/>
    <w:rsid w:val="00CE5397"/>
    <w:rsid w:val="00CE57E3"/>
    <w:rsid w:val="00CE5D15"/>
    <w:rsid w:val="00CE5EF2"/>
    <w:rsid w:val="00CE66C8"/>
    <w:rsid w:val="00CE67F0"/>
    <w:rsid w:val="00CE6B14"/>
    <w:rsid w:val="00CE6F33"/>
    <w:rsid w:val="00CF0260"/>
    <w:rsid w:val="00CF0C8F"/>
    <w:rsid w:val="00CF0E6B"/>
    <w:rsid w:val="00CF0F2E"/>
    <w:rsid w:val="00CF1466"/>
    <w:rsid w:val="00CF1518"/>
    <w:rsid w:val="00CF1792"/>
    <w:rsid w:val="00CF21DA"/>
    <w:rsid w:val="00CF239F"/>
    <w:rsid w:val="00CF24B0"/>
    <w:rsid w:val="00CF2782"/>
    <w:rsid w:val="00CF2CF3"/>
    <w:rsid w:val="00CF2F73"/>
    <w:rsid w:val="00CF2FC1"/>
    <w:rsid w:val="00CF3DAB"/>
    <w:rsid w:val="00CF42F5"/>
    <w:rsid w:val="00CF4CD4"/>
    <w:rsid w:val="00CF530B"/>
    <w:rsid w:val="00CF5C29"/>
    <w:rsid w:val="00CF6528"/>
    <w:rsid w:val="00CF69A9"/>
    <w:rsid w:val="00CF6E06"/>
    <w:rsid w:val="00CF6F1A"/>
    <w:rsid w:val="00CF75D3"/>
    <w:rsid w:val="00CF7769"/>
    <w:rsid w:val="00CF7D6E"/>
    <w:rsid w:val="00D00672"/>
    <w:rsid w:val="00D00E52"/>
    <w:rsid w:val="00D02389"/>
    <w:rsid w:val="00D027C0"/>
    <w:rsid w:val="00D02ABE"/>
    <w:rsid w:val="00D031FB"/>
    <w:rsid w:val="00D03670"/>
    <w:rsid w:val="00D0395B"/>
    <w:rsid w:val="00D03D13"/>
    <w:rsid w:val="00D0432E"/>
    <w:rsid w:val="00D04646"/>
    <w:rsid w:val="00D05225"/>
    <w:rsid w:val="00D05D88"/>
    <w:rsid w:val="00D060E1"/>
    <w:rsid w:val="00D063F2"/>
    <w:rsid w:val="00D0673C"/>
    <w:rsid w:val="00D06A93"/>
    <w:rsid w:val="00D06E15"/>
    <w:rsid w:val="00D06EAB"/>
    <w:rsid w:val="00D07B73"/>
    <w:rsid w:val="00D07BC8"/>
    <w:rsid w:val="00D07CD3"/>
    <w:rsid w:val="00D07F04"/>
    <w:rsid w:val="00D07F41"/>
    <w:rsid w:val="00D10194"/>
    <w:rsid w:val="00D102C1"/>
    <w:rsid w:val="00D1106C"/>
    <w:rsid w:val="00D11AAA"/>
    <w:rsid w:val="00D12B70"/>
    <w:rsid w:val="00D12EA0"/>
    <w:rsid w:val="00D13206"/>
    <w:rsid w:val="00D13453"/>
    <w:rsid w:val="00D13927"/>
    <w:rsid w:val="00D14C20"/>
    <w:rsid w:val="00D14E76"/>
    <w:rsid w:val="00D1506C"/>
    <w:rsid w:val="00D150B4"/>
    <w:rsid w:val="00D15103"/>
    <w:rsid w:val="00D154CE"/>
    <w:rsid w:val="00D15945"/>
    <w:rsid w:val="00D15972"/>
    <w:rsid w:val="00D1599B"/>
    <w:rsid w:val="00D15B14"/>
    <w:rsid w:val="00D15DF2"/>
    <w:rsid w:val="00D15F35"/>
    <w:rsid w:val="00D1627C"/>
    <w:rsid w:val="00D16A4C"/>
    <w:rsid w:val="00D16B7D"/>
    <w:rsid w:val="00D16D37"/>
    <w:rsid w:val="00D17049"/>
    <w:rsid w:val="00D1727C"/>
    <w:rsid w:val="00D17831"/>
    <w:rsid w:val="00D17A3E"/>
    <w:rsid w:val="00D17A64"/>
    <w:rsid w:val="00D17D02"/>
    <w:rsid w:val="00D17E1C"/>
    <w:rsid w:val="00D207D5"/>
    <w:rsid w:val="00D21A09"/>
    <w:rsid w:val="00D2204A"/>
    <w:rsid w:val="00D2228F"/>
    <w:rsid w:val="00D2246E"/>
    <w:rsid w:val="00D22C1D"/>
    <w:rsid w:val="00D232A9"/>
    <w:rsid w:val="00D23BA1"/>
    <w:rsid w:val="00D23E54"/>
    <w:rsid w:val="00D2416A"/>
    <w:rsid w:val="00D24EF2"/>
    <w:rsid w:val="00D251B0"/>
    <w:rsid w:val="00D251BC"/>
    <w:rsid w:val="00D25E12"/>
    <w:rsid w:val="00D2631C"/>
    <w:rsid w:val="00D26401"/>
    <w:rsid w:val="00D265BE"/>
    <w:rsid w:val="00D26DC0"/>
    <w:rsid w:val="00D27387"/>
    <w:rsid w:val="00D27B43"/>
    <w:rsid w:val="00D27D46"/>
    <w:rsid w:val="00D27F67"/>
    <w:rsid w:val="00D301A7"/>
    <w:rsid w:val="00D30487"/>
    <w:rsid w:val="00D307DE"/>
    <w:rsid w:val="00D309A4"/>
    <w:rsid w:val="00D309B4"/>
    <w:rsid w:val="00D309E6"/>
    <w:rsid w:val="00D30BC1"/>
    <w:rsid w:val="00D30C24"/>
    <w:rsid w:val="00D31207"/>
    <w:rsid w:val="00D31AA3"/>
    <w:rsid w:val="00D31BE3"/>
    <w:rsid w:val="00D31C24"/>
    <w:rsid w:val="00D32060"/>
    <w:rsid w:val="00D32342"/>
    <w:rsid w:val="00D32A52"/>
    <w:rsid w:val="00D32D35"/>
    <w:rsid w:val="00D332B0"/>
    <w:rsid w:val="00D335FF"/>
    <w:rsid w:val="00D33716"/>
    <w:rsid w:val="00D340AB"/>
    <w:rsid w:val="00D3417D"/>
    <w:rsid w:val="00D34210"/>
    <w:rsid w:val="00D342A7"/>
    <w:rsid w:val="00D34BA6"/>
    <w:rsid w:val="00D34D74"/>
    <w:rsid w:val="00D34FCD"/>
    <w:rsid w:val="00D35057"/>
    <w:rsid w:val="00D350FC"/>
    <w:rsid w:val="00D352B1"/>
    <w:rsid w:val="00D354E4"/>
    <w:rsid w:val="00D35577"/>
    <w:rsid w:val="00D355FB"/>
    <w:rsid w:val="00D35757"/>
    <w:rsid w:val="00D35B0E"/>
    <w:rsid w:val="00D35C9E"/>
    <w:rsid w:val="00D35CB1"/>
    <w:rsid w:val="00D3626E"/>
    <w:rsid w:val="00D3650C"/>
    <w:rsid w:val="00D36E70"/>
    <w:rsid w:val="00D37BCD"/>
    <w:rsid w:val="00D37C90"/>
    <w:rsid w:val="00D40064"/>
    <w:rsid w:val="00D40B21"/>
    <w:rsid w:val="00D4107A"/>
    <w:rsid w:val="00D41CE5"/>
    <w:rsid w:val="00D4290E"/>
    <w:rsid w:val="00D42E29"/>
    <w:rsid w:val="00D43417"/>
    <w:rsid w:val="00D43464"/>
    <w:rsid w:val="00D43C1C"/>
    <w:rsid w:val="00D43CA3"/>
    <w:rsid w:val="00D43E6C"/>
    <w:rsid w:val="00D441C9"/>
    <w:rsid w:val="00D447A7"/>
    <w:rsid w:val="00D44808"/>
    <w:rsid w:val="00D449A4"/>
    <w:rsid w:val="00D44CB0"/>
    <w:rsid w:val="00D44D31"/>
    <w:rsid w:val="00D45031"/>
    <w:rsid w:val="00D4522E"/>
    <w:rsid w:val="00D453A6"/>
    <w:rsid w:val="00D45ACF"/>
    <w:rsid w:val="00D45B07"/>
    <w:rsid w:val="00D45B5C"/>
    <w:rsid w:val="00D4613A"/>
    <w:rsid w:val="00D4627F"/>
    <w:rsid w:val="00D47163"/>
    <w:rsid w:val="00D4733B"/>
    <w:rsid w:val="00D47CCA"/>
    <w:rsid w:val="00D47CF5"/>
    <w:rsid w:val="00D47D35"/>
    <w:rsid w:val="00D503D2"/>
    <w:rsid w:val="00D505D0"/>
    <w:rsid w:val="00D507F9"/>
    <w:rsid w:val="00D50968"/>
    <w:rsid w:val="00D50970"/>
    <w:rsid w:val="00D5135D"/>
    <w:rsid w:val="00D51804"/>
    <w:rsid w:val="00D51C0E"/>
    <w:rsid w:val="00D51C4B"/>
    <w:rsid w:val="00D51CF3"/>
    <w:rsid w:val="00D52B01"/>
    <w:rsid w:val="00D53076"/>
    <w:rsid w:val="00D53299"/>
    <w:rsid w:val="00D5360D"/>
    <w:rsid w:val="00D536C4"/>
    <w:rsid w:val="00D53847"/>
    <w:rsid w:val="00D538F0"/>
    <w:rsid w:val="00D53CC4"/>
    <w:rsid w:val="00D53F7F"/>
    <w:rsid w:val="00D540F8"/>
    <w:rsid w:val="00D54296"/>
    <w:rsid w:val="00D5527C"/>
    <w:rsid w:val="00D56235"/>
    <w:rsid w:val="00D563D4"/>
    <w:rsid w:val="00D56455"/>
    <w:rsid w:val="00D575E7"/>
    <w:rsid w:val="00D57844"/>
    <w:rsid w:val="00D579A9"/>
    <w:rsid w:val="00D579FB"/>
    <w:rsid w:val="00D60058"/>
    <w:rsid w:val="00D60515"/>
    <w:rsid w:val="00D610B2"/>
    <w:rsid w:val="00D610E6"/>
    <w:rsid w:val="00D61971"/>
    <w:rsid w:val="00D6283F"/>
    <w:rsid w:val="00D62F88"/>
    <w:rsid w:val="00D6340A"/>
    <w:rsid w:val="00D634A8"/>
    <w:rsid w:val="00D63768"/>
    <w:rsid w:val="00D637D8"/>
    <w:rsid w:val="00D63938"/>
    <w:rsid w:val="00D63A49"/>
    <w:rsid w:val="00D63AE0"/>
    <w:rsid w:val="00D642C9"/>
    <w:rsid w:val="00D64A59"/>
    <w:rsid w:val="00D64B19"/>
    <w:rsid w:val="00D64E51"/>
    <w:rsid w:val="00D653B7"/>
    <w:rsid w:val="00D657AA"/>
    <w:rsid w:val="00D657D9"/>
    <w:rsid w:val="00D65EB8"/>
    <w:rsid w:val="00D66115"/>
    <w:rsid w:val="00D66174"/>
    <w:rsid w:val="00D661BA"/>
    <w:rsid w:val="00D6665D"/>
    <w:rsid w:val="00D668A0"/>
    <w:rsid w:val="00D66EFB"/>
    <w:rsid w:val="00D672A0"/>
    <w:rsid w:val="00D67BD6"/>
    <w:rsid w:val="00D70319"/>
    <w:rsid w:val="00D705AD"/>
    <w:rsid w:val="00D7081C"/>
    <w:rsid w:val="00D70D4E"/>
    <w:rsid w:val="00D70E92"/>
    <w:rsid w:val="00D71218"/>
    <w:rsid w:val="00D7129E"/>
    <w:rsid w:val="00D71324"/>
    <w:rsid w:val="00D71347"/>
    <w:rsid w:val="00D715C6"/>
    <w:rsid w:val="00D71A63"/>
    <w:rsid w:val="00D71EC4"/>
    <w:rsid w:val="00D726F6"/>
    <w:rsid w:val="00D72C61"/>
    <w:rsid w:val="00D72EAA"/>
    <w:rsid w:val="00D73239"/>
    <w:rsid w:val="00D73AE6"/>
    <w:rsid w:val="00D73E2D"/>
    <w:rsid w:val="00D73E50"/>
    <w:rsid w:val="00D74600"/>
    <w:rsid w:val="00D74B47"/>
    <w:rsid w:val="00D74E70"/>
    <w:rsid w:val="00D74EDE"/>
    <w:rsid w:val="00D750B3"/>
    <w:rsid w:val="00D75235"/>
    <w:rsid w:val="00D75402"/>
    <w:rsid w:val="00D75725"/>
    <w:rsid w:val="00D75942"/>
    <w:rsid w:val="00D763FF"/>
    <w:rsid w:val="00D76860"/>
    <w:rsid w:val="00D76EC1"/>
    <w:rsid w:val="00D778A1"/>
    <w:rsid w:val="00D77DE8"/>
    <w:rsid w:val="00D77E70"/>
    <w:rsid w:val="00D77F58"/>
    <w:rsid w:val="00D8035B"/>
    <w:rsid w:val="00D809E3"/>
    <w:rsid w:val="00D80A00"/>
    <w:rsid w:val="00D80AED"/>
    <w:rsid w:val="00D812CB"/>
    <w:rsid w:val="00D81A8E"/>
    <w:rsid w:val="00D81B22"/>
    <w:rsid w:val="00D81B67"/>
    <w:rsid w:val="00D81C73"/>
    <w:rsid w:val="00D82472"/>
    <w:rsid w:val="00D83377"/>
    <w:rsid w:val="00D838EC"/>
    <w:rsid w:val="00D84AF2"/>
    <w:rsid w:val="00D85BB4"/>
    <w:rsid w:val="00D85DE8"/>
    <w:rsid w:val="00D868B6"/>
    <w:rsid w:val="00D86963"/>
    <w:rsid w:val="00D86C3E"/>
    <w:rsid w:val="00D86E37"/>
    <w:rsid w:val="00D873DE"/>
    <w:rsid w:val="00D87986"/>
    <w:rsid w:val="00D87D33"/>
    <w:rsid w:val="00D90159"/>
    <w:rsid w:val="00D90CCE"/>
    <w:rsid w:val="00D916A7"/>
    <w:rsid w:val="00D916D1"/>
    <w:rsid w:val="00D91BC2"/>
    <w:rsid w:val="00D91D1C"/>
    <w:rsid w:val="00D91FA9"/>
    <w:rsid w:val="00D921B3"/>
    <w:rsid w:val="00D92399"/>
    <w:rsid w:val="00D9239B"/>
    <w:rsid w:val="00D9260E"/>
    <w:rsid w:val="00D92A7F"/>
    <w:rsid w:val="00D92C05"/>
    <w:rsid w:val="00D92C13"/>
    <w:rsid w:val="00D92C45"/>
    <w:rsid w:val="00D92F26"/>
    <w:rsid w:val="00D93AA5"/>
    <w:rsid w:val="00D93C69"/>
    <w:rsid w:val="00D93CBF"/>
    <w:rsid w:val="00D942FC"/>
    <w:rsid w:val="00D9437A"/>
    <w:rsid w:val="00D945F7"/>
    <w:rsid w:val="00D9474D"/>
    <w:rsid w:val="00D953C5"/>
    <w:rsid w:val="00D95939"/>
    <w:rsid w:val="00D95C0E"/>
    <w:rsid w:val="00D95D5A"/>
    <w:rsid w:val="00D96466"/>
    <w:rsid w:val="00D96913"/>
    <w:rsid w:val="00D96C45"/>
    <w:rsid w:val="00D96F20"/>
    <w:rsid w:val="00D9724F"/>
    <w:rsid w:val="00D9750C"/>
    <w:rsid w:val="00DA0037"/>
    <w:rsid w:val="00DA0209"/>
    <w:rsid w:val="00DA0331"/>
    <w:rsid w:val="00DA0484"/>
    <w:rsid w:val="00DA0579"/>
    <w:rsid w:val="00DA067E"/>
    <w:rsid w:val="00DA1413"/>
    <w:rsid w:val="00DA16D0"/>
    <w:rsid w:val="00DA1A97"/>
    <w:rsid w:val="00DA2408"/>
    <w:rsid w:val="00DA242C"/>
    <w:rsid w:val="00DA2479"/>
    <w:rsid w:val="00DA24BA"/>
    <w:rsid w:val="00DA26A1"/>
    <w:rsid w:val="00DA270E"/>
    <w:rsid w:val="00DA2B28"/>
    <w:rsid w:val="00DA34E4"/>
    <w:rsid w:val="00DA380B"/>
    <w:rsid w:val="00DA3F86"/>
    <w:rsid w:val="00DA40F7"/>
    <w:rsid w:val="00DA4227"/>
    <w:rsid w:val="00DA4489"/>
    <w:rsid w:val="00DA5136"/>
    <w:rsid w:val="00DA526B"/>
    <w:rsid w:val="00DA5335"/>
    <w:rsid w:val="00DA5430"/>
    <w:rsid w:val="00DA54CE"/>
    <w:rsid w:val="00DA5556"/>
    <w:rsid w:val="00DA6004"/>
    <w:rsid w:val="00DA6526"/>
    <w:rsid w:val="00DA6968"/>
    <w:rsid w:val="00DA6D5B"/>
    <w:rsid w:val="00DA6FA6"/>
    <w:rsid w:val="00DA74D0"/>
    <w:rsid w:val="00DA7751"/>
    <w:rsid w:val="00DA7898"/>
    <w:rsid w:val="00DA78F6"/>
    <w:rsid w:val="00DA7999"/>
    <w:rsid w:val="00DA7BFA"/>
    <w:rsid w:val="00DA7DA6"/>
    <w:rsid w:val="00DB0101"/>
    <w:rsid w:val="00DB0150"/>
    <w:rsid w:val="00DB01F8"/>
    <w:rsid w:val="00DB039E"/>
    <w:rsid w:val="00DB04D9"/>
    <w:rsid w:val="00DB066E"/>
    <w:rsid w:val="00DB0785"/>
    <w:rsid w:val="00DB1ED6"/>
    <w:rsid w:val="00DB2A7E"/>
    <w:rsid w:val="00DB3A2B"/>
    <w:rsid w:val="00DB3D9E"/>
    <w:rsid w:val="00DB3DA8"/>
    <w:rsid w:val="00DB40BE"/>
    <w:rsid w:val="00DB42A3"/>
    <w:rsid w:val="00DB44F4"/>
    <w:rsid w:val="00DB4828"/>
    <w:rsid w:val="00DB4994"/>
    <w:rsid w:val="00DB4D17"/>
    <w:rsid w:val="00DB4D5F"/>
    <w:rsid w:val="00DB4E84"/>
    <w:rsid w:val="00DB5756"/>
    <w:rsid w:val="00DB5CFA"/>
    <w:rsid w:val="00DB5E32"/>
    <w:rsid w:val="00DB5EE2"/>
    <w:rsid w:val="00DB64CD"/>
    <w:rsid w:val="00DB692D"/>
    <w:rsid w:val="00DB6AD7"/>
    <w:rsid w:val="00DB7BAF"/>
    <w:rsid w:val="00DB7C25"/>
    <w:rsid w:val="00DC06DC"/>
    <w:rsid w:val="00DC0E73"/>
    <w:rsid w:val="00DC1666"/>
    <w:rsid w:val="00DC1E2C"/>
    <w:rsid w:val="00DC2120"/>
    <w:rsid w:val="00DC244B"/>
    <w:rsid w:val="00DC2C83"/>
    <w:rsid w:val="00DC311D"/>
    <w:rsid w:val="00DC3354"/>
    <w:rsid w:val="00DC36EB"/>
    <w:rsid w:val="00DC39FE"/>
    <w:rsid w:val="00DC3C78"/>
    <w:rsid w:val="00DC4386"/>
    <w:rsid w:val="00DC45C2"/>
    <w:rsid w:val="00DC45E4"/>
    <w:rsid w:val="00DC47F8"/>
    <w:rsid w:val="00DC4BBF"/>
    <w:rsid w:val="00DC52B2"/>
    <w:rsid w:val="00DC71D7"/>
    <w:rsid w:val="00DD0732"/>
    <w:rsid w:val="00DD0773"/>
    <w:rsid w:val="00DD193C"/>
    <w:rsid w:val="00DD197C"/>
    <w:rsid w:val="00DD1C14"/>
    <w:rsid w:val="00DD1CFB"/>
    <w:rsid w:val="00DD24DB"/>
    <w:rsid w:val="00DD2592"/>
    <w:rsid w:val="00DD25A4"/>
    <w:rsid w:val="00DD288D"/>
    <w:rsid w:val="00DD357C"/>
    <w:rsid w:val="00DD3995"/>
    <w:rsid w:val="00DD3CED"/>
    <w:rsid w:val="00DD43A2"/>
    <w:rsid w:val="00DD448F"/>
    <w:rsid w:val="00DD48E0"/>
    <w:rsid w:val="00DD4AD4"/>
    <w:rsid w:val="00DD58A7"/>
    <w:rsid w:val="00DD59C0"/>
    <w:rsid w:val="00DD5AE1"/>
    <w:rsid w:val="00DD5CFA"/>
    <w:rsid w:val="00DD5FDE"/>
    <w:rsid w:val="00DD70FE"/>
    <w:rsid w:val="00DD7128"/>
    <w:rsid w:val="00DD78A7"/>
    <w:rsid w:val="00DD7C3D"/>
    <w:rsid w:val="00DD7FB9"/>
    <w:rsid w:val="00DE046B"/>
    <w:rsid w:val="00DE061B"/>
    <w:rsid w:val="00DE0EB6"/>
    <w:rsid w:val="00DE18CC"/>
    <w:rsid w:val="00DE1BCB"/>
    <w:rsid w:val="00DE21AD"/>
    <w:rsid w:val="00DE2684"/>
    <w:rsid w:val="00DE2998"/>
    <w:rsid w:val="00DE2B27"/>
    <w:rsid w:val="00DE3715"/>
    <w:rsid w:val="00DE37F0"/>
    <w:rsid w:val="00DE389C"/>
    <w:rsid w:val="00DE3995"/>
    <w:rsid w:val="00DE4DEF"/>
    <w:rsid w:val="00DE53D8"/>
    <w:rsid w:val="00DE5453"/>
    <w:rsid w:val="00DE55E9"/>
    <w:rsid w:val="00DE6319"/>
    <w:rsid w:val="00DE63AE"/>
    <w:rsid w:val="00DE6EF2"/>
    <w:rsid w:val="00DE6F94"/>
    <w:rsid w:val="00DE72AA"/>
    <w:rsid w:val="00DE7972"/>
    <w:rsid w:val="00DE7A7F"/>
    <w:rsid w:val="00DE7C01"/>
    <w:rsid w:val="00DE7C62"/>
    <w:rsid w:val="00DE7DE7"/>
    <w:rsid w:val="00DF0169"/>
    <w:rsid w:val="00DF0179"/>
    <w:rsid w:val="00DF0BD8"/>
    <w:rsid w:val="00DF0DC5"/>
    <w:rsid w:val="00DF1165"/>
    <w:rsid w:val="00DF152C"/>
    <w:rsid w:val="00DF1BDA"/>
    <w:rsid w:val="00DF211E"/>
    <w:rsid w:val="00DF222D"/>
    <w:rsid w:val="00DF2BEE"/>
    <w:rsid w:val="00DF2DCA"/>
    <w:rsid w:val="00DF3114"/>
    <w:rsid w:val="00DF3C28"/>
    <w:rsid w:val="00DF4BFE"/>
    <w:rsid w:val="00DF52F7"/>
    <w:rsid w:val="00DF5B89"/>
    <w:rsid w:val="00DF5C47"/>
    <w:rsid w:val="00DF5C6F"/>
    <w:rsid w:val="00DF5CBC"/>
    <w:rsid w:val="00DF6DA9"/>
    <w:rsid w:val="00DF6EA5"/>
    <w:rsid w:val="00DF717E"/>
    <w:rsid w:val="00DF732B"/>
    <w:rsid w:val="00DF742C"/>
    <w:rsid w:val="00E0041C"/>
    <w:rsid w:val="00E00AEA"/>
    <w:rsid w:val="00E00D6D"/>
    <w:rsid w:val="00E0138F"/>
    <w:rsid w:val="00E018EC"/>
    <w:rsid w:val="00E025BC"/>
    <w:rsid w:val="00E02FAE"/>
    <w:rsid w:val="00E03077"/>
    <w:rsid w:val="00E03343"/>
    <w:rsid w:val="00E03445"/>
    <w:rsid w:val="00E035E6"/>
    <w:rsid w:val="00E03AC4"/>
    <w:rsid w:val="00E044B5"/>
    <w:rsid w:val="00E0496D"/>
    <w:rsid w:val="00E04B1B"/>
    <w:rsid w:val="00E04B2A"/>
    <w:rsid w:val="00E04B4B"/>
    <w:rsid w:val="00E053A8"/>
    <w:rsid w:val="00E05B39"/>
    <w:rsid w:val="00E05C4B"/>
    <w:rsid w:val="00E05DD7"/>
    <w:rsid w:val="00E0604A"/>
    <w:rsid w:val="00E06843"/>
    <w:rsid w:val="00E101C2"/>
    <w:rsid w:val="00E102B9"/>
    <w:rsid w:val="00E1067D"/>
    <w:rsid w:val="00E10AF2"/>
    <w:rsid w:val="00E10C23"/>
    <w:rsid w:val="00E117E9"/>
    <w:rsid w:val="00E11C5F"/>
    <w:rsid w:val="00E11F2E"/>
    <w:rsid w:val="00E124EB"/>
    <w:rsid w:val="00E12B89"/>
    <w:rsid w:val="00E1309C"/>
    <w:rsid w:val="00E13627"/>
    <w:rsid w:val="00E138AE"/>
    <w:rsid w:val="00E13F00"/>
    <w:rsid w:val="00E1431D"/>
    <w:rsid w:val="00E144CC"/>
    <w:rsid w:val="00E14A1A"/>
    <w:rsid w:val="00E14A4A"/>
    <w:rsid w:val="00E14BFD"/>
    <w:rsid w:val="00E1522D"/>
    <w:rsid w:val="00E154C5"/>
    <w:rsid w:val="00E154FC"/>
    <w:rsid w:val="00E16104"/>
    <w:rsid w:val="00E161CA"/>
    <w:rsid w:val="00E17054"/>
    <w:rsid w:val="00E17C4B"/>
    <w:rsid w:val="00E17D93"/>
    <w:rsid w:val="00E20337"/>
    <w:rsid w:val="00E20D2A"/>
    <w:rsid w:val="00E213EC"/>
    <w:rsid w:val="00E21867"/>
    <w:rsid w:val="00E21D33"/>
    <w:rsid w:val="00E21F54"/>
    <w:rsid w:val="00E22570"/>
    <w:rsid w:val="00E225E7"/>
    <w:rsid w:val="00E22975"/>
    <w:rsid w:val="00E22AA9"/>
    <w:rsid w:val="00E22BB5"/>
    <w:rsid w:val="00E230D1"/>
    <w:rsid w:val="00E235D5"/>
    <w:rsid w:val="00E23AE1"/>
    <w:rsid w:val="00E240BC"/>
    <w:rsid w:val="00E24739"/>
    <w:rsid w:val="00E24B17"/>
    <w:rsid w:val="00E25275"/>
    <w:rsid w:val="00E25AA1"/>
    <w:rsid w:val="00E2674D"/>
    <w:rsid w:val="00E26B14"/>
    <w:rsid w:val="00E26E11"/>
    <w:rsid w:val="00E2709E"/>
    <w:rsid w:val="00E270DC"/>
    <w:rsid w:val="00E27543"/>
    <w:rsid w:val="00E279B1"/>
    <w:rsid w:val="00E30053"/>
    <w:rsid w:val="00E301D3"/>
    <w:rsid w:val="00E30506"/>
    <w:rsid w:val="00E3081A"/>
    <w:rsid w:val="00E30CAD"/>
    <w:rsid w:val="00E30EB2"/>
    <w:rsid w:val="00E31162"/>
    <w:rsid w:val="00E312BF"/>
    <w:rsid w:val="00E31520"/>
    <w:rsid w:val="00E3190A"/>
    <w:rsid w:val="00E31C35"/>
    <w:rsid w:val="00E31C99"/>
    <w:rsid w:val="00E328FA"/>
    <w:rsid w:val="00E32EF7"/>
    <w:rsid w:val="00E32F66"/>
    <w:rsid w:val="00E33096"/>
    <w:rsid w:val="00E33411"/>
    <w:rsid w:val="00E3377A"/>
    <w:rsid w:val="00E337F1"/>
    <w:rsid w:val="00E33D1B"/>
    <w:rsid w:val="00E34439"/>
    <w:rsid w:val="00E34648"/>
    <w:rsid w:val="00E34CF1"/>
    <w:rsid w:val="00E3527E"/>
    <w:rsid w:val="00E35BBB"/>
    <w:rsid w:val="00E36034"/>
    <w:rsid w:val="00E361BA"/>
    <w:rsid w:val="00E361C5"/>
    <w:rsid w:val="00E36309"/>
    <w:rsid w:val="00E3670C"/>
    <w:rsid w:val="00E3671B"/>
    <w:rsid w:val="00E36AAB"/>
    <w:rsid w:val="00E377EE"/>
    <w:rsid w:val="00E37847"/>
    <w:rsid w:val="00E37A83"/>
    <w:rsid w:val="00E37BB6"/>
    <w:rsid w:val="00E40479"/>
    <w:rsid w:val="00E40C7E"/>
    <w:rsid w:val="00E40E9D"/>
    <w:rsid w:val="00E4102F"/>
    <w:rsid w:val="00E4157A"/>
    <w:rsid w:val="00E41FF4"/>
    <w:rsid w:val="00E4209F"/>
    <w:rsid w:val="00E4245A"/>
    <w:rsid w:val="00E43316"/>
    <w:rsid w:val="00E43447"/>
    <w:rsid w:val="00E4385D"/>
    <w:rsid w:val="00E4386F"/>
    <w:rsid w:val="00E43B8B"/>
    <w:rsid w:val="00E43C0F"/>
    <w:rsid w:val="00E44429"/>
    <w:rsid w:val="00E450F9"/>
    <w:rsid w:val="00E453E7"/>
    <w:rsid w:val="00E45464"/>
    <w:rsid w:val="00E4553D"/>
    <w:rsid w:val="00E45740"/>
    <w:rsid w:val="00E45B11"/>
    <w:rsid w:val="00E45CE1"/>
    <w:rsid w:val="00E46688"/>
    <w:rsid w:val="00E46AC7"/>
    <w:rsid w:val="00E46B31"/>
    <w:rsid w:val="00E46D40"/>
    <w:rsid w:val="00E475FA"/>
    <w:rsid w:val="00E478FA"/>
    <w:rsid w:val="00E47B30"/>
    <w:rsid w:val="00E5009D"/>
    <w:rsid w:val="00E517E1"/>
    <w:rsid w:val="00E51B7C"/>
    <w:rsid w:val="00E51DE8"/>
    <w:rsid w:val="00E51EE2"/>
    <w:rsid w:val="00E5216F"/>
    <w:rsid w:val="00E5259F"/>
    <w:rsid w:val="00E52615"/>
    <w:rsid w:val="00E52959"/>
    <w:rsid w:val="00E52DA3"/>
    <w:rsid w:val="00E52EF0"/>
    <w:rsid w:val="00E5344E"/>
    <w:rsid w:val="00E53905"/>
    <w:rsid w:val="00E539E6"/>
    <w:rsid w:val="00E5417A"/>
    <w:rsid w:val="00E5442C"/>
    <w:rsid w:val="00E54774"/>
    <w:rsid w:val="00E54FDC"/>
    <w:rsid w:val="00E5529D"/>
    <w:rsid w:val="00E55440"/>
    <w:rsid w:val="00E55797"/>
    <w:rsid w:val="00E557D6"/>
    <w:rsid w:val="00E55CF5"/>
    <w:rsid w:val="00E55DCA"/>
    <w:rsid w:val="00E55E0A"/>
    <w:rsid w:val="00E56E8C"/>
    <w:rsid w:val="00E56F62"/>
    <w:rsid w:val="00E56F7B"/>
    <w:rsid w:val="00E57377"/>
    <w:rsid w:val="00E57BB3"/>
    <w:rsid w:val="00E57F11"/>
    <w:rsid w:val="00E604CD"/>
    <w:rsid w:val="00E604E5"/>
    <w:rsid w:val="00E60CE6"/>
    <w:rsid w:val="00E60E69"/>
    <w:rsid w:val="00E61093"/>
    <w:rsid w:val="00E61097"/>
    <w:rsid w:val="00E61131"/>
    <w:rsid w:val="00E614DE"/>
    <w:rsid w:val="00E61533"/>
    <w:rsid w:val="00E617A7"/>
    <w:rsid w:val="00E61C93"/>
    <w:rsid w:val="00E62524"/>
    <w:rsid w:val="00E637D6"/>
    <w:rsid w:val="00E640DC"/>
    <w:rsid w:val="00E642BB"/>
    <w:rsid w:val="00E6432A"/>
    <w:rsid w:val="00E647CB"/>
    <w:rsid w:val="00E64990"/>
    <w:rsid w:val="00E64A03"/>
    <w:rsid w:val="00E64F64"/>
    <w:rsid w:val="00E654A9"/>
    <w:rsid w:val="00E65587"/>
    <w:rsid w:val="00E65878"/>
    <w:rsid w:val="00E65892"/>
    <w:rsid w:val="00E65A9B"/>
    <w:rsid w:val="00E65DD6"/>
    <w:rsid w:val="00E66615"/>
    <w:rsid w:val="00E6672B"/>
    <w:rsid w:val="00E66786"/>
    <w:rsid w:val="00E66CBE"/>
    <w:rsid w:val="00E673E2"/>
    <w:rsid w:val="00E67671"/>
    <w:rsid w:val="00E67917"/>
    <w:rsid w:val="00E67A05"/>
    <w:rsid w:val="00E67AE6"/>
    <w:rsid w:val="00E7047A"/>
    <w:rsid w:val="00E704A3"/>
    <w:rsid w:val="00E706D7"/>
    <w:rsid w:val="00E70D4A"/>
    <w:rsid w:val="00E7115A"/>
    <w:rsid w:val="00E7149D"/>
    <w:rsid w:val="00E714AE"/>
    <w:rsid w:val="00E71674"/>
    <w:rsid w:val="00E71999"/>
    <w:rsid w:val="00E71A28"/>
    <w:rsid w:val="00E71A39"/>
    <w:rsid w:val="00E71ACC"/>
    <w:rsid w:val="00E71F67"/>
    <w:rsid w:val="00E729AA"/>
    <w:rsid w:val="00E73022"/>
    <w:rsid w:val="00E7302E"/>
    <w:rsid w:val="00E731B0"/>
    <w:rsid w:val="00E737FD"/>
    <w:rsid w:val="00E7396E"/>
    <w:rsid w:val="00E73D0E"/>
    <w:rsid w:val="00E73E07"/>
    <w:rsid w:val="00E742E9"/>
    <w:rsid w:val="00E74560"/>
    <w:rsid w:val="00E746B4"/>
    <w:rsid w:val="00E74CF4"/>
    <w:rsid w:val="00E75E3A"/>
    <w:rsid w:val="00E75F18"/>
    <w:rsid w:val="00E76450"/>
    <w:rsid w:val="00E76720"/>
    <w:rsid w:val="00E76A07"/>
    <w:rsid w:val="00E774DF"/>
    <w:rsid w:val="00E8059A"/>
    <w:rsid w:val="00E80758"/>
    <w:rsid w:val="00E815FA"/>
    <w:rsid w:val="00E81854"/>
    <w:rsid w:val="00E819B8"/>
    <w:rsid w:val="00E81ADC"/>
    <w:rsid w:val="00E8218A"/>
    <w:rsid w:val="00E825D1"/>
    <w:rsid w:val="00E830CB"/>
    <w:rsid w:val="00E835AC"/>
    <w:rsid w:val="00E83F5D"/>
    <w:rsid w:val="00E84798"/>
    <w:rsid w:val="00E8480E"/>
    <w:rsid w:val="00E84B69"/>
    <w:rsid w:val="00E84B83"/>
    <w:rsid w:val="00E84BB1"/>
    <w:rsid w:val="00E84C8A"/>
    <w:rsid w:val="00E855FD"/>
    <w:rsid w:val="00E85F19"/>
    <w:rsid w:val="00E863AC"/>
    <w:rsid w:val="00E865AE"/>
    <w:rsid w:val="00E86A10"/>
    <w:rsid w:val="00E86EC1"/>
    <w:rsid w:val="00E87260"/>
    <w:rsid w:val="00E87891"/>
    <w:rsid w:val="00E87D98"/>
    <w:rsid w:val="00E87EA0"/>
    <w:rsid w:val="00E90251"/>
    <w:rsid w:val="00E90362"/>
    <w:rsid w:val="00E908C0"/>
    <w:rsid w:val="00E90ABD"/>
    <w:rsid w:val="00E90BD6"/>
    <w:rsid w:val="00E916A5"/>
    <w:rsid w:val="00E91A87"/>
    <w:rsid w:val="00E921ED"/>
    <w:rsid w:val="00E92BF3"/>
    <w:rsid w:val="00E92CA7"/>
    <w:rsid w:val="00E92FE7"/>
    <w:rsid w:val="00E93401"/>
    <w:rsid w:val="00E9383D"/>
    <w:rsid w:val="00E946E6"/>
    <w:rsid w:val="00E94AC8"/>
    <w:rsid w:val="00E94B55"/>
    <w:rsid w:val="00E94CC8"/>
    <w:rsid w:val="00E94D0C"/>
    <w:rsid w:val="00E9520D"/>
    <w:rsid w:val="00E95230"/>
    <w:rsid w:val="00E95D4E"/>
    <w:rsid w:val="00E95DBF"/>
    <w:rsid w:val="00E9622D"/>
    <w:rsid w:val="00E96A4D"/>
    <w:rsid w:val="00E96B19"/>
    <w:rsid w:val="00E9735C"/>
    <w:rsid w:val="00E97368"/>
    <w:rsid w:val="00E97A01"/>
    <w:rsid w:val="00E97A42"/>
    <w:rsid w:val="00E97DB7"/>
    <w:rsid w:val="00EA03DA"/>
    <w:rsid w:val="00EA075F"/>
    <w:rsid w:val="00EA07CA"/>
    <w:rsid w:val="00EA117C"/>
    <w:rsid w:val="00EA160E"/>
    <w:rsid w:val="00EA161F"/>
    <w:rsid w:val="00EA1AAF"/>
    <w:rsid w:val="00EA1BB7"/>
    <w:rsid w:val="00EA1FDD"/>
    <w:rsid w:val="00EA20FB"/>
    <w:rsid w:val="00EA2666"/>
    <w:rsid w:val="00EA291E"/>
    <w:rsid w:val="00EA30E5"/>
    <w:rsid w:val="00EA381E"/>
    <w:rsid w:val="00EA3914"/>
    <w:rsid w:val="00EA3A58"/>
    <w:rsid w:val="00EA3A5D"/>
    <w:rsid w:val="00EA3E7F"/>
    <w:rsid w:val="00EA4671"/>
    <w:rsid w:val="00EA469C"/>
    <w:rsid w:val="00EA46BA"/>
    <w:rsid w:val="00EA4E1F"/>
    <w:rsid w:val="00EA5169"/>
    <w:rsid w:val="00EA5485"/>
    <w:rsid w:val="00EA5737"/>
    <w:rsid w:val="00EA595A"/>
    <w:rsid w:val="00EA5B8B"/>
    <w:rsid w:val="00EA61D0"/>
    <w:rsid w:val="00EA629F"/>
    <w:rsid w:val="00EA6E7F"/>
    <w:rsid w:val="00EA7019"/>
    <w:rsid w:val="00EA70AD"/>
    <w:rsid w:val="00EA73D3"/>
    <w:rsid w:val="00EA749F"/>
    <w:rsid w:val="00EA78B9"/>
    <w:rsid w:val="00EA7CFA"/>
    <w:rsid w:val="00EA7E27"/>
    <w:rsid w:val="00EB0205"/>
    <w:rsid w:val="00EB025B"/>
    <w:rsid w:val="00EB0661"/>
    <w:rsid w:val="00EB12E3"/>
    <w:rsid w:val="00EB19FB"/>
    <w:rsid w:val="00EB1C97"/>
    <w:rsid w:val="00EB21F5"/>
    <w:rsid w:val="00EB23AD"/>
    <w:rsid w:val="00EB32C5"/>
    <w:rsid w:val="00EB3724"/>
    <w:rsid w:val="00EB3767"/>
    <w:rsid w:val="00EB4783"/>
    <w:rsid w:val="00EB47DF"/>
    <w:rsid w:val="00EB4A9D"/>
    <w:rsid w:val="00EB4AE6"/>
    <w:rsid w:val="00EB5F28"/>
    <w:rsid w:val="00EB6220"/>
    <w:rsid w:val="00EB6725"/>
    <w:rsid w:val="00EB67D9"/>
    <w:rsid w:val="00EB6B85"/>
    <w:rsid w:val="00EB7099"/>
    <w:rsid w:val="00EB7197"/>
    <w:rsid w:val="00EB7E42"/>
    <w:rsid w:val="00EC0027"/>
    <w:rsid w:val="00EC0040"/>
    <w:rsid w:val="00EC0143"/>
    <w:rsid w:val="00EC01BA"/>
    <w:rsid w:val="00EC06B4"/>
    <w:rsid w:val="00EC2A8F"/>
    <w:rsid w:val="00EC2C31"/>
    <w:rsid w:val="00EC2D1F"/>
    <w:rsid w:val="00EC2F55"/>
    <w:rsid w:val="00EC37C7"/>
    <w:rsid w:val="00EC3A0F"/>
    <w:rsid w:val="00EC3F1D"/>
    <w:rsid w:val="00EC4399"/>
    <w:rsid w:val="00EC4BDF"/>
    <w:rsid w:val="00EC533D"/>
    <w:rsid w:val="00EC552A"/>
    <w:rsid w:val="00EC5542"/>
    <w:rsid w:val="00EC5869"/>
    <w:rsid w:val="00EC5A6A"/>
    <w:rsid w:val="00EC63C8"/>
    <w:rsid w:val="00EC6684"/>
    <w:rsid w:val="00EC7663"/>
    <w:rsid w:val="00EC782A"/>
    <w:rsid w:val="00EC78FC"/>
    <w:rsid w:val="00ED018C"/>
    <w:rsid w:val="00ED0431"/>
    <w:rsid w:val="00ED08AE"/>
    <w:rsid w:val="00ED0A23"/>
    <w:rsid w:val="00ED1525"/>
    <w:rsid w:val="00ED2282"/>
    <w:rsid w:val="00ED2654"/>
    <w:rsid w:val="00ED2786"/>
    <w:rsid w:val="00ED2A50"/>
    <w:rsid w:val="00ED2D77"/>
    <w:rsid w:val="00ED30DE"/>
    <w:rsid w:val="00ED35DF"/>
    <w:rsid w:val="00ED3826"/>
    <w:rsid w:val="00ED403D"/>
    <w:rsid w:val="00ED411F"/>
    <w:rsid w:val="00ED47AC"/>
    <w:rsid w:val="00ED4F3A"/>
    <w:rsid w:val="00ED5248"/>
    <w:rsid w:val="00ED54A7"/>
    <w:rsid w:val="00ED56D6"/>
    <w:rsid w:val="00ED5A5B"/>
    <w:rsid w:val="00ED5A95"/>
    <w:rsid w:val="00ED5BD8"/>
    <w:rsid w:val="00ED5D24"/>
    <w:rsid w:val="00ED6078"/>
    <w:rsid w:val="00ED6AB8"/>
    <w:rsid w:val="00ED6B66"/>
    <w:rsid w:val="00ED6BA7"/>
    <w:rsid w:val="00ED7022"/>
    <w:rsid w:val="00ED7A39"/>
    <w:rsid w:val="00ED7ABE"/>
    <w:rsid w:val="00ED7B79"/>
    <w:rsid w:val="00EE018A"/>
    <w:rsid w:val="00EE01AE"/>
    <w:rsid w:val="00EE0352"/>
    <w:rsid w:val="00EE0699"/>
    <w:rsid w:val="00EE0A6C"/>
    <w:rsid w:val="00EE0B73"/>
    <w:rsid w:val="00EE0F27"/>
    <w:rsid w:val="00EE13C5"/>
    <w:rsid w:val="00EE15CF"/>
    <w:rsid w:val="00EE1E3C"/>
    <w:rsid w:val="00EE2332"/>
    <w:rsid w:val="00EE2421"/>
    <w:rsid w:val="00EE252F"/>
    <w:rsid w:val="00EE276E"/>
    <w:rsid w:val="00EE2862"/>
    <w:rsid w:val="00EE3241"/>
    <w:rsid w:val="00EE3716"/>
    <w:rsid w:val="00EE38DF"/>
    <w:rsid w:val="00EE39AD"/>
    <w:rsid w:val="00EE3B05"/>
    <w:rsid w:val="00EE3DB3"/>
    <w:rsid w:val="00EE3FB9"/>
    <w:rsid w:val="00EE4AC6"/>
    <w:rsid w:val="00EE4CBD"/>
    <w:rsid w:val="00EE4EB1"/>
    <w:rsid w:val="00EE53D5"/>
    <w:rsid w:val="00EE62EA"/>
    <w:rsid w:val="00EE64FF"/>
    <w:rsid w:val="00EE6D0F"/>
    <w:rsid w:val="00EE7B2E"/>
    <w:rsid w:val="00EF0451"/>
    <w:rsid w:val="00EF07C9"/>
    <w:rsid w:val="00EF0830"/>
    <w:rsid w:val="00EF0A1D"/>
    <w:rsid w:val="00EF0BE7"/>
    <w:rsid w:val="00EF0E25"/>
    <w:rsid w:val="00EF0F12"/>
    <w:rsid w:val="00EF108B"/>
    <w:rsid w:val="00EF161F"/>
    <w:rsid w:val="00EF1B4B"/>
    <w:rsid w:val="00EF2237"/>
    <w:rsid w:val="00EF257C"/>
    <w:rsid w:val="00EF2797"/>
    <w:rsid w:val="00EF27C0"/>
    <w:rsid w:val="00EF29A3"/>
    <w:rsid w:val="00EF2BE3"/>
    <w:rsid w:val="00EF329A"/>
    <w:rsid w:val="00EF3378"/>
    <w:rsid w:val="00EF419E"/>
    <w:rsid w:val="00EF4282"/>
    <w:rsid w:val="00EF43DA"/>
    <w:rsid w:val="00EF45E7"/>
    <w:rsid w:val="00EF4D2B"/>
    <w:rsid w:val="00EF4DA3"/>
    <w:rsid w:val="00EF5433"/>
    <w:rsid w:val="00EF5A3A"/>
    <w:rsid w:val="00EF5C49"/>
    <w:rsid w:val="00EF7722"/>
    <w:rsid w:val="00EF772C"/>
    <w:rsid w:val="00EF796C"/>
    <w:rsid w:val="00EF7B63"/>
    <w:rsid w:val="00F0010C"/>
    <w:rsid w:val="00F002AE"/>
    <w:rsid w:val="00F00745"/>
    <w:rsid w:val="00F00AA4"/>
    <w:rsid w:val="00F0153C"/>
    <w:rsid w:val="00F01C25"/>
    <w:rsid w:val="00F01FA2"/>
    <w:rsid w:val="00F0281D"/>
    <w:rsid w:val="00F0288D"/>
    <w:rsid w:val="00F028C6"/>
    <w:rsid w:val="00F02D0F"/>
    <w:rsid w:val="00F038FF"/>
    <w:rsid w:val="00F03A45"/>
    <w:rsid w:val="00F04248"/>
    <w:rsid w:val="00F04256"/>
    <w:rsid w:val="00F044FA"/>
    <w:rsid w:val="00F048EB"/>
    <w:rsid w:val="00F04E44"/>
    <w:rsid w:val="00F04EBB"/>
    <w:rsid w:val="00F0566B"/>
    <w:rsid w:val="00F0573A"/>
    <w:rsid w:val="00F05DEF"/>
    <w:rsid w:val="00F0639D"/>
    <w:rsid w:val="00F06553"/>
    <w:rsid w:val="00F07133"/>
    <w:rsid w:val="00F07955"/>
    <w:rsid w:val="00F07CDD"/>
    <w:rsid w:val="00F101DF"/>
    <w:rsid w:val="00F1023F"/>
    <w:rsid w:val="00F107FC"/>
    <w:rsid w:val="00F10B68"/>
    <w:rsid w:val="00F10EAF"/>
    <w:rsid w:val="00F110AE"/>
    <w:rsid w:val="00F113F4"/>
    <w:rsid w:val="00F11600"/>
    <w:rsid w:val="00F119E5"/>
    <w:rsid w:val="00F11AA9"/>
    <w:rsid w:val="00F1256C"/>
    <w:rsid w:val="00F12A4D"/>
    <w:rsid w:val="00F12AF7"/>
    <w:rsid w:val="00F134B3"/>
    <w:rsid w:val="00F1353C"/>
    <w:rsid w:val="00F138F7"/>
    <w:rsid w:val="00F13DC5"/>
    <w:rsid w:val="00F14223"/>
    <w:rsid w:val="00F14304"/>
    <w:rsid w:val="00F14317"/>
    <w:rsid w:val="00F1463D"/>
    <w:rsid w:val="00F14930"/>
    <w:rsid w:val="00F14C9D"/>
    <w:rsid w:val="00F14CE2"/>
    <w:rsid w:val="00F14DC0"/>
    <w:rsid w:val="00F155BD"/>
    <w:rsid w:val="00F1638C"/>
    <w:rsid w:val="00F17032"/>
    <w:rsid w:val="00F174E0"/>
    <w:rsid w:val="00F17B05"/>
    <w:rsid w:val="00F20A11"/>
    <w:rsid w:val="00F20FBF"/>
    <w:rsid w:val="00F21120"/>
    <w:rsid w:val="00F21C58"/>
    <w:rsid w:val="00F21C90"/>
    <w:rsid w:val="00F21D52"/>
    <w:rsid w:val="00F21E16"/>
    <w:rsid w:val="00F22026"/>
    <w:rsid w:val="00F22AFE"/>
    <w:rsid w:val="00F22B93"/>
    <w:rsid w:val="00F23977"/>
    <w:rsid w:val="00F23D90"/>
    <w:rsid w:val="00F245EC"/>
    <w:rsid w:val="00F24AD1"/>
    <w:rsid w:val="00F24C6C"/>
    <w:rsid w:val="00F24F1E"/>
    <w:rsid w:val="00F25104"/>
    <w:rsid w:val="00F25676"/>
    <w:rsid w:val="00F26240"/>
    <w:rsid w:val="00F264C3"/>
    <w:rsid w:val="00F26B81"/>
    <w:rsid w:val="00F26B8E"/>
    <w:rsid w:val="00F2732C"/>
    <w:rsid w:val="00F27855"/>
    <w:rsid w:val="00F27E64"/>
    <w:rsid w:val="00F30352"/>
    <w:rsid w:val="00F30778"/>
    <w:rsid w:val="00F30E32"/>
    <w:rsid w:val="00F31CF0"/>
    <w:rsid w:val="00F31DC9"/>
    <w:rsid w:val="00F321FA"/>
    <w:rsid w:val="00F324EE"/>
    <w:rsid w:val="00F32FE0"/>
    <w:rsid w:val="00F3329E"/>
    <w:rsid w:val="00F335AB"/>
    <w:rsid w:val="00F335C5"/>
    <w:rsid w:val="00F337BE"/>
    <w:rsid w:val="00F33BDB"/>
    <w:rsid w:val="00F33EEC"/>
    <w:rsid w:val="00F34645"/>
    <w:rsid w:val="00F347F4"/>
    <w:rsid w:val="00F3496B"/>
    <w:rsid w:val="00F34A6D"/>
    <w:rsid w:val="00F35114"/>
    <w:rsid w:val="00F355DB"/>
    <w:rsid w:val="00F3595D"/>
    <w:rsid w:val="00F35C41"/>
    <w:rsid w:val="00F36A71"/>
    <w:rsid w:val="00F36AE2"/>
    <w:rsid w:val="00F36BB8"/>
    <w:rsid w:val="00F36C9D"/>
    <w:rsid w:val="00F36F5C"/>
    <w:rsid w:val="00F373A6"/>
    <w:rsid w:val="00F3769A"/>
    <w:rsid w:val="00F3771F"/>
    <w:rsid w:val="00F40139"/>
    <w:rsid w:val="00F40641"/>
    <w:rsid w:val="00F406B2"/>
    <w:rsid w:val="00F4075E"/>
    <w:rsid w:val="00F40797"/>
    <w:rsid w:val="00F407BC"/>
    <w:rsid w:val="00F40B9C"/>
    <w:rsid w:val="00F40FE8"/>
    <w:rsid w:val="00F41255"/>
    <w:rsid w:val="00F414F7"/>
    <w:rsid w:val="00F41A56"/>
    <w:rsid w:val="00F41A97"/>
    <w:rsid w:val="00F41ACA"/>
    <w:rsid w:val="00F41BE9"/>
    <w:rsid w:val="00F42605"/>
    <w:rsid w:val="00F4288A"/>
    <w:rsid w:val="00F4320A"/>
    <w:rsid w:val="00F43C61"/>
    <w:rsid w:val="00F43E55"/>
    <w:rsid w:val="00F44061"/>
    <w:rsid w:val="00F44972"/>
    <w:rsid w:val="00F44A59"/>
    <w:rsid w:val="00F44BA6"/>
    <w:rsid w:val="00F44F35"/>
    <w:rsid w:val="00F4652D"/>
    <w:rsid w:val="00F46BA6"/>
    <w:rsid w:val="00F46DFF"/>
    <w:rsid w:val="00F47012"/>
    <w:rsid w:val="00F4733D"/>
    <w:rsid w:val="00F503CA"/>
    <w:rsid w:val="00F50408"/>
    <w:rsid w:val="00F513C8"/>
    <w:rsid w:val="00F5191F"/>
    <w:rsid w:val="00F51B21"/>
    <w:rsid w:val="00F51CCC"/>
    <w:rsid w:val="00F521F4"/>
    <w:rsid w:val="00F52709"/>
    <w:rsid w:val="00F532BF"/>
    <w:rsid w:val="00F53380"/>
    <w:rsid w:val="00F536B7"/>
    <w:rsid w:val="00F53775"/>
    <w:rsid w:val="00F53849"/>
    <w:rsid w:val="00F53A84"/>
    <w:rsid w:val="00F53C35"/>
    <w:rsid w:val="00F53D13"/>
    <w:rsid w:val="00F53F99"/>
    <w:rsid w:val="00F5455C"/>
    <w:rsid w:val="00F545D7"/>
    <w:rsid w:val="00F54B61"/>
    <w:rsid w:val="00F54C79"/>
    <w:rsid w:val="00F55246"/>
    <w:rsid w:val="00F5561C"/>
    <w:rsid w:val="00F55621"/>
    <w:rsid w:val="00F55978"/>
    <w:rsid w:val="00F55AEC"/>
    <w:rsid w:val="00F55E7A"/>
    <w:rsid w:val="00F55F11"/>
    <w:rsid w:val="00F561AE"/>
    <w:rsid w:val="00F561DC"/>
    <w:rsid w:val="00F568DE"/>
    <w:rsid w:val="00F570F7"/>
    <w:rsid w:val="00F571D7"/>
    <w:rsid w:val="00F5726A"/>
    <w:rsid w:val="00F5729E"/>
    <w:rsid w:val="00F579AA"/>
    <w:rsid w:val="00F57ED1"/>
    <w:rsid w:val="00F6029B"/>
    <w:rsid w:val="00F607D4"/>
    <w:rsid w:val="00F607EB"/>
    <w:rsid w:val="00F60E5F"/>
    <w:rsid w:val="00F610DF"/>
    <w:rsid w:val="00F61482"/>
    <w:rsid w:val="00F61488"/>
    <w:rsid w:val="00F6179E"/>
    <w:rsid w:val="00F61ED2"/>
    <w:rsid w:val="00F6242D"/>
    <w:rsid w:val="00F62618"/>
    <w:rsid w:val="00F62B85"/>
    <w:rsid w:val="00F6387E"/>
    <w:rsid w:val="00F63EB1"/>
    <w:rsid w:val="00F63FC8"/>
    <w:rsid w:val="00F63FF0"/>
    <w:rsid w:val="00F641E5"/>
    <w:rsid w:val="00F64B8B"/>
    <w:rsid w:val="00F64D87"/>
    <w:rsid w:val="00F6506B"/>
    <w:rsid w:val="00F65896"/>
    <w:rsid w:val="00F659E1"/>
    <w:rsid w:val="00F65B5A"/>
    <w:rsid w:val="00F65DE2"/>
    <w:rsid w:val="00F660E4"/>
    <w:rsid w:val="00F66956"/>
    <w:rsid w:val="00F66D93"/>
    <w:rsid w:val="00F66F24"/>
    <w:rsid w:val="00F67461"/>
    <w:rsid w:val="00F678EE"/>
    <w:rsid w:val="00F67988"/>
    <w:rsid w:val="00F67A44"/>
    <w:rsid w:val="00F71116"/>
    <w:rsid w:val="00F718E7"/>
    <w:rsid w:val="00F719C0"/>
    <w:rsid w:val="00F71C36"/>
    <w:rsid w:val="00F72215"/>
    <w:rsid w:val="00F7249A"/>
    <w:rsid w:val="00F72551"/>
    <w:rsid w:val="00F72C2F"/>
    <w:rsid w:val="00F73488"/>
    <w:rsid w:val="00F73DB7"/>
    <w:rsid w:val="00F74FBF"/>
    <w:rsid w:val="00F7526E"/>
    <w:rsid w:val="00F75355"/>
    <w:rsid w:val="00F7564E"/>
    <w:rsid w:val="00F75AE7"/>
    <w:rsid w:val="00F76406"/>
    <w:rsid w:val="00F76CF9"/>
    <w:rsid w:val="00F76D50"/>
    <w:rsid w:val="00F7710F"/>
    <w:rsid w:val="00F77AFB"/>
    <w:rsid w:val="00F77B99"/>
    <w:rsid w:val="00F802A6"/>
    <w:rsid w:val="00F80380"/>
    <w:rsid w:val="00F804AC"/>
    <w:rsid w:val="00F80BAD"/>
    <w:rsid w:val="00F80CA6"/>
    <w:rsid w:val="00F80D85"/>
    <w:rsid w:val="00F81043"/>
    <w:rsid w:val="00F81094"/>
    <w:rsid w:val="00F81310"/>
    <w:rsid w:val="00F814B5"/>
    <w:rsid w:val="00F819CA"/>
    <w:rsid w:val="00F81D5E"/>
    <w:rsid w:val="00F825D5"/>
    <w:rsid w:val="00F83450"/>
    <w:rsid w:val="00F834EA"/>
    <w:rsid w:val="00F84907"/>
    <w:rsid w:val="00F84DF0"/>
    <w:rsid w:val="00F84E07"/>
    <w:rsid w:val="00F84F94"/>
    <w:rsid w:val="00F84FBD"/>
    <w:rsid w:val="00F851BA"/>
    <w:rsid w:val="00F8559D"/>
    <w:rsid w:val="00F864D7"/>
    <w:rsid w:val="00F86CFD"/>
    <w:rsid w:val="00F86D04"/>
    <w:rsid w:val="00F8700B"/>
    <w:rsid w:val="00F870D2"/>
    <w:rsid w:val="00F870D6"/>
    <w:rsid w:val="00F876E7"/>
    <w:rsid w:val="00F8776F"/>
    <w:rsid w:val="00F878AB"/>
    <w:rsid w:val="00F87DF7"/>
    <w:rsid w:val="00F87E24"/>
    <w:rsid w:val="00F9005A"/>
    <w:rsid w:val="00F90167"/>
    <w:rsid w:val="00F90341"/>
    <w:rsid w:val="00F903AE"/>
    <w:rsid w:val="00F91242"/>
    <w:rsid w:val="00F917DD"/>
    <w:rsid w:val="00F91D65"/>
    <w:rsid w:val="00F91F41"/>
    <w:rsid w:val="00F92156"/>
    <w:rsid w:val="00F923F0"/>
    <w:rsid w:val="00F9267B"/>
    <w:rsid w:val="00F92EE9"/>
    <w:rsid w:val="00F92FBD"/>
    <w:rsid w:val="00F94400"/>
    <w:rsid w:val="00F95597"/>
    <w:rsid w:val="00F95688"/>
    <w:rsid w:val="00F958C8"/>
    <w:rsid w:val="00F96075"/>
    <w:rsid w:val="00F960BB"/>
    <w:rsid w:val="00F968F7"/>
    <w:rsid w:val="00F96B96"/>
    <w:rsid w:val="00F96CCA"/>
    <w:rsid w:val="00F96D02"/>
    <w:rsid w:val="00F96DDA"/>
    <w:rsid w:val="00F96E4D"/>
    <w:rsid w:val="00F9724D"/>
    <w:rsid w:val="00F972E3"/>
    <w:rsid w:val="00F977A6"/>
    <w:rsid w:val="00F977C5"/>
    <w:rsid w:val="00F97826"/>
    <w:rsid w:val="00F97F1C"/>
    <w:rsid w:val="00FA0017"/>
    <w:rsid w:val="00FA03DF"/>
    <w:rsid w:val="00FA07C2"/>
    <w:rsid w:val="00FA08CC"/>
    <w:rsid w:val="00FA133A"/>
    <w:rsid w:val="00FA1455"/>
    <w:rsid w:val="00FA15A2"/>
    <w:rsid w:val="00FA2796"/>
    <w:rsid w:val="00FA2DF8"/>
    <w:rsid w:val="00FA3332"/>
    <w:rsid w:val="00FA385E"/>
    <w:rsid w:val="00FA3AE0"/>
    <w:rsid w:val="00FA3DD5"/>
    <w:rsid w:val="00FA3F86"/>
    <w:rsid w:val="00FA432E"/>
    <w:rsid w:val="00FA450C"/>
    <w:rsid w:val="00FA4715"/>
    <w:rsid w:val="00FA49B5"/>
    <w:rsid w:val="00FA55B1"/>
    <w:rsid w:val="00FA6140"/>
    <w:rsid w:val="00FA64B7"/>
    <w:rsid w:val="00FA697F"/>
    <w:rsid w:val="00FA6981"/>
    <w:rsid w:val="00FA6B9F"/>
    <w:rsid w:val="00FA6EAE"/>
    <w:rsid w:val="00FA6FDE"/>
    <w:rsid w:val="00FA7143"/>
    <w:rsid w:val="00FA74AE"/>
    <w:rsid w:val="00FA76E7"/>
    <w:rsid w:val="00FB1120"/>
    <w:rsid w:val="00FB150E"/>
    <w:rsid w:val="00FB1560"/>
    <w:rsid w:val="00FB258B"/>
    <w:rsid w:val="00FB26B3"/>
    <w:rsid w:val="00FB275D"/>
    <w:rsid w:val="00FB2D68"/>
    <w:rsid w:val="00FB30AD"/>
    <w:rsid w:val="00FB4841"/>
    <w:rsid w:val="00FB485D"/>
    <w:rsid w:val="00FB4BEA"/>
    <w:rsid w:val="00FB4CCC"/>
    <w:rsid w:val="00FB5B29"/>
    <w:rsid w:val="00FB66F5"/>
    <w:rsid w:val="00FB6CF9"/>
    <w:rsid w:val="00FB6ED0"/>
    <w:rsid w:val="00FB73DF"/>
    <w:rsid w:val="00FB7557"/>
    <w:rsid w:val="00FB761F"/>
    <w:rsid w:val="00FB798F"/>
    <w:rsid w:val="00FC023A"/>
    <w:rsid w:val="00FC04B4"/>
    <w:rsid w:val="00FC08D7"/>
    <w:rsid w:val="00FC09CD"/>
    <w:rsid w:val="00FC0A09"/>
    <w:rsid w:val="00FC0F95"/>
    <w:rsid w:val="00FC1093"/>
    <w:rsid w:val="00FC19CE"/>
    <w:rsid w:val="00FC230D"/>
    <w:rsid w:val="00FC2435"/>
    <w:rsid w:val="00FC2535"/>
    <w:rsid w:val="00FC2683"/>
    <w:rsid w:val="00FC2853"/>
    <w:rsid w:val="00FC2A0F"/>
    <w:rsid w:val="00FC2A85"/>
    <w:rsid w:val="00FC2B64"/>
    <w:rsid w:val="00FC2C34"/>
    <w:rsid w:val="00FC31A3"/>
    <w:rsid w:val="00FC32C6"/>
    <w:rsid w:val="00FC3352"/>
    <w:rsid w:val="00FC3593"/>
    <w:rsid w:val="00FC38E5"/>
    <w:rsid w:val="00FC3D8F"/>
    <w:rsid w:val="00FC3EC3"/>
    <w:rsid w:val="00FC4487"/>
    <w:rsid w:val="00FC4786"/>
    <w:rsid w:val="00FC4B7F"/>
    <w:rsid w:val="00FC5095"/>
    <w:rsid w:val="00FC5DA6"/>
    <w:rsid w:val="00FC5E7D"/>
    <w:rsid w:val="00FC5F8B"/>
    <w:rsid w:val="00FC62A7"/>
    <w:rsid w:val="00FC6B98"/>
    <w:rsid w:val="00FC71E2"/>
    <w:rsid w:val="00FC7673"/>
    <w:rsid w:val="00FC7A42"/>
    <w:rsid w:val="00FC7BFC"/>
    <w:rsid w:val="00FC7D60"/>
    <w:rsid w:val="00FC7F73"/>
    <w:rsid w:val="00FC7FA2"/>
    <w:rsid w:val="00FD042A"/>
    <w:rsid w:val="00FD07D2"/>
    <w:rsid w:val="00FD11DE"/>
    <w:rsid w:val="00FD11E7"/>
    <w:rsid w:val="00FD179B"/>
    <w:rsid w:val="00FD1A13"/>
    <w:rsid w:val="00FD1D8D"/>
    <w:rsid w:val="00FD205C"/>
    <w:rsid w:val="00FD21D6"/>
    <w:rsid w:val="00FD22CF"/>
    <w:rsid w:val="00FD2551"/>
    <w:rsid w:val="00FD2A66"/>
    <w:rsid w:val="00FD2DAA"/>
    <w:rsid w:val="00FD308D"/>
    <w:rsid w:val="00FD3677"/>
    <w:rsid w:val="00FD3A47"/>
    <w:rsid w:val="00FD43BF"/>
    <w:rsid w:val="00FD4604"/>
    <w:rsid w:val="00FD47FE"/>
    <w:rsid w:val="00FD4848"/>
    <w:rsid w:val="00FD4BC7"/>
    <w:rsid w:val="00FD4C95"/>
    <w:rsid w:val="00FD4E0C"/>
    <w:rsid w:val="00FD4E5E"/>
    <w:rsid w:val="00FD5082"/>
    <w:rsid w:val="00FD534A"/>
    <w:rsid w:val="00FD5A38"/>
    <w:rsid w:val="00FD61E4"/>
    <w:rsid w:val="00FD652F"/>
    <w:rsid w:val="00FD6578"/>
    <w:rsid w:val="00FD68BB"/>
    <w:rsid w:val="00FD693A"/>
    <w:rsid w:val="00FD6ED0"/>
    <w:rsid w:val="00FD7336"/>
    <w:rsid w:val="00FD760B"/>
    <w:rsid w:val="00FD7E97"/>
    <w:rsid w:val="00FD7FAE"/>
    <w:rsid w:val="00FE00A4"/>
    <w:rsid w:val="00FE0117"/>
    <w:rsid w:val="00FE069F"/>
    <w:rsid w:val="00FE075B"/>
    <w:rsid w:val="00FE0A30"/>
    <w:rsid w:val="00FE1483"/>
    <w:rsid w:val="00FE16CE"/>
    <w:rsid w:val="00FE1964"/>
    <w:rsid w:val="00FE1B65"/>
    <w:rsid w:val="00FE1C73"/>
    <w:rsid w:val="00FE2111"/>
    <w:rsid w:val="00FE2A83"/>
    <w:rsid w:val="00FE2D62"/>
    <w:rsid w:val="00FE3522"/>
    <w:rsid w:val="00FE39CC"/>
    <w:rsid w:val="00FE3BF9"/>
    <w:rsid w:val="00FE3E56"/>
    <w:rsid w:val="00FE40B7"/>
    <w:rsid w:val="00FE41BD"/>
    <w:rsid w:val="00FE502C"/>
    <w:rsid w:val="00FE56B5"/>
    <w:rsid w:val="00FE5E19"/>
    <w:rsid w:val="00FE5F5C"/>
    <w:rsid w:val="00FE6AC9"/>
    <w:rsid w:val="00FE6EE5"/>
    <w:rsid w:val="00FE754F"/>
    <w:rsid w:val="00FE7845"/>
    <w:rsid w:val="00FF03F4"/>
    <w:rsid w:val="00FF04DF"/>
    <w:rsid w:val="00FF0A3D"/>
    <w:rsid w:val="00FF0B8E"/>
    <w:rsid w:val="00FF10F3"/>
    <w:rsid w:val="00FF11FB"/>
    <w:rsid w:val="00FF1351"/>
    <w:rsid w:val="00FF1432"/>
    <w:rsid w:val="00FF1A5C"/>
    <w:rsid w:val="00FF20E9"/>
    <w:rsid w:val="00FF21FB"/>
    <w:rsid w:val="00FF22F3"/>
    <w:rsid w:val="00FF2336"/>
    <w:rsid w:val="00FF2704"/>
    <w:rsid w:val="00FF2E65"/>
    <w:rsid w:val="00FF30A7"/>
    <w:rsid w:val="00FF3335"/>
    <w:rsid w:val="00FF34D2"/>
    <w:rsid w:val="00FF4600"/>
    <w:rsid w:val="00FF48ED"/>
    <w:rsid w:val="00FF4B4B"/>
    <w:rsid w:val="00FF4D2C"/>
    <w:rsid w:val="00FF4D2E"/>
    <w:rsid w:val="00FF4DA9"/>
    <w:rsid w:val="00FF503F"/>
    <w:rsid w:val="00FF55FE"/>
    <w:rsid w:val="00FF57DA"/>
    <w:rsid w:val="00FF5DF5"/>
    <w:rsid w:val="00FF610D"/>
    <w:rsid w:val="00FF62B2"/>
    <w:rsid w:val="00FF64AB"/>
    <w:rsid w:val="00FF68F9"/>
    <w:rsid w:val="00FF6AFE"/>
    <w:rsid w:val="00FF6D7B"/>
    <w:rsid w:val="00FF78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2"/>
    </o:shapelayout>
  </w:shapeDefaults>
  <w:decimalSymbol w:val=","/>
  <w:listSeparator w:val=";"/>
  <w14:docId w14:val="2EFB80AB"/>
  <w15:docId w15:val="{152FD862-46D7-48E4-B53F-D16FF6FB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235"/>
    <w:pPr>
      <w:jc w:val="both"/>
    </w:pPr>
    <w:rPr>
      <w:rFonts w:ascii="Arial" w:hAnsi="Arial"/>
      <w:szCs w:val="24"/>
      <w:lang w:val="es-ES_tradnl" w:eastAsia="en-US"/>
    </w:rPr>
  </w:style>
  <w:style w:type="paragraph" w:styleId="Ttulo1">
    <w:name w:val="heading 1"/>
    <w:basedOn w:val="Normal"/>
    <w:next w:val="Normal"/>
    <w:qFormat/>
    <w:rsid w:val="001D1C77"/>
    <w:pPr>
      <w:keepNext/>
      <w:spacing w:before="240" w:after="60"/>
      <w:outlineLvl w:val="0"/>
    </w:pPr>
    <w:rPr>
      <w:rFonts w:cs="Arial"/>
      <w:b/>
      <w:bCs/>
      <w:kern w:val="32"/>
      <w:sz w:val="32"/>
      <w:szCs w:val="32"/>
    </w:rPr>
  </w:style>
  <w:style w:type="paragraph" w:styleId="Ttulo2">
    <w:name w:val="heading 2"/>
    <w:basedOn w:val="Normal"/>
    <w:next w:val="Normal"/>
    <w:qFormat/>
    <w:rsid w:val="003C0984"/>
    <w:pPr>
      <w:keepNext/>
      <w:widowControl w:val="0"/>
      <w:spacing w:before="120"/>
      <w:jc w:val="center"/>
      <w:outlineLvl w:val="1"/>
    </w:pPr>
    <w:rPr>
      <w:b/>
      <w:szCs w:val="20"/>
    </w:rPr>
  </w:style>
  <w:style w:type="paragraph" w:styleId="Ttulo3">
    <w:name w:val="heading 3"/>
    <w:basedOn w:val="Normal"/>
    <w:next w:val="Normal"/>
    <w:qFormat/>
    <w:rsid w:val="001D1370"/>
    <w:pPr>
      <w:keepNext/>
      <w:spacing w:before="240" w:after="60"/>
      <w:outlineLvl w:val="2"/>
    </w:pPr>
    <w:rPr>
      <w:rFonts w:cs="Arial"/>
      <w:b/>
      <w:bCs/>
      <w:sz w:val="26"/>
      <w:szCs w:val="26"/>
    </w:rPr>
  </w:style>
  <w:style w:type="paragraph" w:styleId="Ttulo4">
    <w:name w:val="heading 4"/>
    <w:basedOn w:val="Normal"/>
    <w:next w:val="Normal"/>
    <w:qFormat/>
    <w:rsid w:val="001D1C77"/>
    <w:pPr>
      <w:keepNext/>
      <w:spacing w:before="240" w:after="60"/>
      <w:outlineLvl w:val="3"/>
    </w:pPr>
    <w:rPr>
      <w:rFonts w:ascii="Times New Roman" w:hAnsi="Times New Roman"/>
      <w:b/>
      <w:bCs/>
      <w:sz w:val="28"/>
      <w:szCs w:val="28"/>
    </w:rPr>
  </w:style>
  <w:style w:type="paragraph" w:styleId="Ttulo9">
    <w:name w:val="heading 9"/>
    <w:basedOn w:val="Normal"/>
    <w:next w:val="Normal"/>
    <w:qFormat/>
    <w:rsid w:val="001D1C77"/>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
    <w:name w:val="20"/>
    <w:basedOn w:val="Normal"/>
    <w:rsid w:val="00AA01D3"/>
    <w:pPr>
      <w:spacing w:before="400"/>
    </w:pPr>
  </w:style>
  <w:style w:type="paragraph" w:customStyle="1" w:styleId="40">
    <w:name w:val="40"/>
    <w:basedOn w:val="Normal"/>
    <w:rsid w:val="00AA01D3"/>
    <w:pPr>
      <w:spacing w:before="800"/>
    </w:pPr>
  </w:style>
  <w:style w:type="paragraph" w:styleId="Encabezado">
    <w:name w:val="header"/>
    <w:basedOn w:val="Normal"/>
    <w:rsid w:val="004B1397"/>
    <w:pPr>
      <w:tabs>
        <w:tab w:val="center" w:pos="4419"/>
        <w:tab w:val="right" w:pos="8838"/>
      </w:tabs>
    </w:pPr>
  </w:style>
  <w:style w:type="paragraph" w:styleId="Piedepgina">
    <w:name w:val="footer"/>
    <w:basedOn w:val="Normal"/>
    <w:rsid w:val="004B1397"/>
    <w:pPr>
      <w:tabs>
        <w:tab w:val="center" w:pos="4419"/>
        <w:tab w:val="right" w:pos="8838"/>
      </w:tabs>
    </w:pPr>
  </w:style>
  <w:style w:type="paragraph" w:styleId="Textoindependiente">
    <w:name w:val="Body Text"/>
    <w:basedOn w:val="Normal"/>
    <w:link w:val="TextoindependienteCar"/>
    <w:rsid w:val="00AC2586"/>
    <w:rPr>
      <w:rFonts w:ascii="Times New Roman" w:hAnsi="Times New Roman"/>
      <w:sz w:val="24"/>
      <w:szCs w:val="20"/>
    </w:rPr>
  </w:style>
  <w:style w:type="paragraph" w:customStyle="1" w:styleId="ESPACIO20">
    <w:name w:val="ESPACIO 20"/>
    <w:basedOn w:val="Normal"/>
    <w:link w:val="ESPACIO20Char"/>
    <w:rsid w:val="00AC2586"/>
    <w:pPr>
      <w:spacing w:before="400"/>
    </w:pPr>
    <w:rPr>
      <w:rFonts w:ascii="Times New Roman" w:hAnsi="Times New Roman"/>
      <w:bCs/>
      <w:sz w:val="24"/>
      <w:szCs w:val="20"/>
    </w:rPr>
  </w:style>
  <w:style w:type="character" w:customStyle="1" w:styleId="ESPACIO20Char">
    <w:name w:val="ESPACIO 20 Char"/>
    <w:basedOn w:val="Fuentedeprrafopredeter"/>
    <w:link w:val="ESPACIO20"/>
    <w:rsid w:val="00AC2586"/>
    <w:rPr>
      <w:bCs/>
      <w:sz w:val="24"/>
      <w:lang w:val="es-ES_tradnl" w:eastAsia="en-US" w:bidi="ar-SA"/>
    </w:rPr>
  </w:style>
  <w:style w:type="paragraph" w:customStyle="1" w:styleId="2espacios">
    <w:name w:val="2 espacios"/>
    <w:basedOn w:val="Normal"/>
    <w:rsid w:val="00AC2586"/>
    <w:pPr>
      <w:spacing w:before="400"/>
    </w:pPr>
    <w:rPr>
      <w:rFonts w:ascii="Times New Roman" w:hAnsi="Times New Roman"/>
      <w:sz w:val="24"/>
      <w:szCs w:val="20"/>
    </w:rPr>
  </w:style>
  <w:style w:type="paragraph" w:customStyle="1" w:styleId="2ESPACIOS0">
    <w:name w:val="2 ESPACIOS"/>
    <w:basedOn w:val="Normal"/>
    <w:rsid w:val="00DA5335"/>
    <w:pPr>
      <w:widowControl w:val="0"/>
      <w:spacing w:before="400"/>
    </w:pPr>
    <w:rPr>
      <w:rFonts w:ascii="Times New Roman" w:hAnsi="Times New Roman"/>
      <w:sz w:val="24"/>
      <w:szCs w:val="20"/>
      <w:lang w:val="es-ES" w:eastAsia="es-ES"/>
    </w:rPr>
  </w:style>
  <w:style w:type="paragraph" w:styleId="Textodeglobo">
    <w:name w:val="Balloon Text"/>
    <w:basedOn w:val="Normal"/>
    <w:semiHidden/>
    <w:rsid w:val="008D6D59"/>
    <w:rPr>
      <w:rFonts w:ascii="Tahoma" w:hAnsi="Tahoma" w:cs="Tahoma"/>
      <w:sz w:val="16"/>
      <w:szCs w:val="16"/>
    </w:rPr>
  </w:style>
  <w:style w:type="paragraph" w:customStyle="1" w:styleId="TTULO40">
    <w:name w:val="TÍTULO 40"/>
    <w:basedOn w:val="Normal"/>
    <w:rsid w:val="008F6F0E"/>
    <w:pPr>
      <w:widowControl w:val="0"/>
      <w:tabs>
        <w:tab w:val="left" w:pos="660"/>
        <w:tab w:val="left" w:pos="1380"/>
        <w:tab w:val="left" w:pos="2100"/>
        <w:tab w:val="left" w:pos="2820"/>
        <w:tab w:val="left" w:pos="3540"/>
        <w:tab w:val="left" w:pos="4260"/>
        <w:tab w:val="left" w:pos="4980"/>
      </w:tabs>
      <w:spacing w:before="800"/>
    </w:pPr>
    <w:rPr>
      <w:rFonts w:ascii="Times New Roman" w:hAnsi="Times New Roman"/>
      <w:sz w:val="24"/>
      <w:szCs w:val="20"/>
      <w:lang w:val="en-US"/>
    </w:rPr>
  </w:style>
  <w:style w:type="paragraph" w:customStyle="1" w:styleId="dospuntos">
    <w:name w:val="dos puntos"/>
    <w:basedOn w:val="Normal"/>
    <w:rsid w:val="008F6F0E"/>
    <w:pPr>
      <w:widowControl w:val="0"/>
      <w:tabs>
        <w:tab w:val="num" w:pos="360"/>
      </w:tabs>
      <w:spacing w:before="240"/>
      <w:ind w:left="714" w:hanging="357"/>
    </w:pPr>
    <w:rPr>
      <w:rFonts w:ascii="Times New Roman" w:hAnsi="Times New Roman"/>
      <w:color w:val="000000"/>
      <w:sz w:val="24"/>
      <w:szCs w:val="20"/>
    </w:rPr>
  </w:style>
  <w:style w:type="paragraph" w:customStyle="1" w:styleId="ficha-resumen">
    <w:name w:val="ficha-resumen"/>
    <w:basedOn w:val="Normal"/>
    <w:rsid w:val="008F6F0E"/>
    <w:pPr>
      <w:widowControl w:val="0"/>
      <w:autoSpaceDE w:val="0"/>
      <w:autoSpaceDN w:val="0"/>
      <w:adjustRightInd w:val="0"/>
      <w:ind w:left="714" w:hanging="357"/>
    </w:pPr>
    <w:rPr>
      <w:rFonts w:ascii="Times New Roman" w:hAnsi="Times New Roman"/>
      <w:i/>
      <w:iCs/>
      <w:color w:val="000000"/>
      <w:szCs w:val="20"/>
      <w:lang w:val="es-ES"/>
    </w:rPr>
  </w:style>
  <w:style w:type="paragraph" w:customStyle="1" w:styleId="Incidencia">
    <w:name w:val="Incidencia"/>
    <w:basedOn w:val="Normal"/>
    <w:rsid w:val="008F6F0E"/>
    <w:pPr>
      <w:widowControl w:val="0"/>
      <w:tabs>
        <w:tab w:val="left" w:pos="566"/>
      </w:tabs>
      <w:ind w:left="283" w:hanging="283"/>
    </w:pPr>
    <w:rPr>
      <w:rFonts w:ascii="Times New Roman" w:hAnsi="Times New Roman"/>
      <w:sz w:val="24"/>
      <w:szCs w:val="20"/>
    </w:rPr>
  </w:style>
  <w:style w:type="paragraph" w:customStyle="1" w:styleId="Incidenciasdetectadas">
    <w:name w:val="Incidencias detectadas"/>
    <w:basedOn w:val="Normal"/>
    <w:rsid w:val="008F6F0E"/>
    <w:pPr>
      <w:widowControl w:val="0"/>
      <w:tabs>
        <w:tab w:val="center" w:pos="850"/>
        <w:tab w:val="center" w:pos="2905"/>
      </w:tabs>
      <w:autoSpaceDE w:val="0"/>
      <w:autoSpaceDN w:val="0"/>
      <w:adjustRightInd w:val="0"/>
      <w:spacing w:before="60"/>
      <w:jc w:val="left"/>
    </w:pPr>
    <w:rPr>
      <w:rFonts w:ascii="Times New Roman" w:hAnsi="Times New Roman"/>
      <w:color w:val="000000"/>
      <w:szCs w:val="20"/>
      <w:lang w:val="es-ES"/>
    </w:rPr>
  </w:style>
  <w:style w:type="paragraph" w:customStyle="1" w:styleId="incidenciaTIMES10">
    <w:name w:val="incidenciaTIMES10"/>
    <w:basedOn w:val="Normal"/>
    <w:rsid w:val="008F6F0E"/>
    <w:pPr>
      <w:widowControl w:val="0"/>
      <w:tabs>
        <w:tab w:val="num" w:pos="570"/>
      </w:tabs>
      <w:spacing w:before="160"/>
      <w:ind w:left="357" w:hanging="357"/>
    </w:pPr>
    <w:rPr>
      <w:rFonts w:ascii="Times New Roman" w:hAnsi="Times New Roman"/>
      <w:szCs w:val="20"/>
    </w:rPr>
  </w:style>
  <w:style w:type="paragraph" w:customStyle="1" w:styleId="INCIDEN-INVERSION">
    <w:name w:val="INCIDEN-INVERSION"/>
    <w:basedOn w:val="Normal"/>
    <w:rsid w:val="008F6F0E"/>
    <w:pPr>
      <w:widowControl w:val="0"/>
      <w:tabs>
        <w:tab w:val="left" w:pos="170"/>
        <w:tab w:val="num" w:pos="570"/>
        <w:tab w:val="decimal" w:pos="7229"/>
        <w:tab w:val="decimal" w:pos="8363"/>
      </w:tabs>
      <w:autoSpaceDE w:val="0"/>
      <w:autoSpaceDN w:val="0"/>
      <w:adjustRightInd w:val="0"/>
      <w:spacing w:before="120"/>
      <w:ind w:left="170" w:hanging="170"/>
    </w:pPr>
    <w:rPr>
      <w:rFonts w:ascii="Times New Roman" w:hAnsi="Times New Roman"/>
      <w:color w:val="000000"/>
      <w:szCs w:val="20"/>
      <w:lang w:val="es-ES"/>
    </w:rPr>
  </w:style>
  <w:style w:type="paragraph" w:customStyle="1" w:styleId="puntoinciden">
    <w:name w:val="puntoinciden"/>
    <w:basedOn w:val="Normal"/>
    <w:rsid w:val="008F6F0E"/>
    <w:pPr>
      <w:tabs>
        <w:tab w:val="left" w:pos="142"/>
      </w:tabs>
      <w:spacing w:before="100"/>
      <w:ind w:left="709" w:hanging="709"/>
    </w:pPr>
    <w:rPr>
      <w:rFonts w:ascii="Times New Roman" w:hAnsi="Times New Roman"/>
      <w:color w:val="000000"/>
      <w:szCs w:val="20"/>
      <w:lang w:val="es-ES"/>
    </w:rPr>
  </w:style>
  <w:style w:type="paragraph" w:customStyle="1" w:styleId="puntorecomend">
    <w:name w:val="puntorecomend"/>
    <w:basedOn w:val="Normal"/>
    <w:rsid w:val="008F6F0E"/>
    <w:pPr>
      <w:tabs>
        <w:tab w:val="left" w:pos="709"/>
      </w:tabs>
      <w:ind w:left="992" w:hanging="992"/>
    </w:pPr>
    <w:rPr>
      <w:rFonts w:ascii="Times New Roman" w:hAnsi="Times New Roman"/>
      <w:i/>
      <w:iCs/>
      <w:szCs w:val="20"/>
      <w:lang w:val="es-ES"/>
    </w:rPr>
  </w:style>
  <w:style w:type="paragraph" w:customStyle="1" w:styleId="Recomendacion">
    <w:name w:val="Recomendacion"/>
    <w:basedOn w:val="Normal"/>
    <w:rsid w:val="008F6F0E"/>
    <w:pPr>
      <w:widowControl w:val="0"/>
      <w:tabs>
        <w:tab w:val="left" w:pos="566"/>
      </w:tabs>
      <w:ind w:left="1287" w:hanging="720"/>
    </w:pPr>
    <w:rPr>
      <w:rFonts w:ascii="Times New Roman" w:hAnsi="Times New Roman"/>
      <w:i/>
      <w:color w:val="000000"/>
      <w:sz w:val="24"/>
      <w:szCs w:val="20"/>
    </w:rPr>
  </w:style>
  <w:style w:type="numbering" w:customStyle="1" w:styleId="NoList1">
    <w:name w:val="No List1"/>
    <w:next w:val="Sinlista"/>
    <w:semiHidden/>
    <w:rsid w:val="008F6F0E"/>
  </w:style>
  <w:style w:type="numbering" w:customStyle="1" w:styleId="NoList2">
    <w:name w:val="No List2"/>
    <w:next w:val="Sinlista"/>
    <w:semiHidden/>
    <w:rsid w:val="00352ED5"/>
  </w:style>
  <w:style w:type="numbering" w:customStyle="1" w:styleId="NoList11">
    <w:name w:val="No List11"/>
    <w:next w:val="Sinlista"/>
    <w:semiHidden/>
    <w:rsid w:val="00352ED5"/>
  </w:style>
  <w:style w:type="numbering" w:customStyle="1" w:styleId="NoList111">
    <w:name w:val="No List111"/>
    <w:next w:val="Sinlista"/>
    <w:semiHidden/>
    <w:rsid w:val="00352ED5"/>
  </w:style>
  <w:style w:type="paragraph" w:styleId="Textoindependiente2">
    <w:name w:val="Body Text 2"/>
    <w:basedOn w:val="Normal"/>
    <w:rsid w:val="004113E0"/>
    <w:pPr>
      <w:spacing w:after="120" w:line="480" w:lineRule="auto"/>
    </w:pPr>
  </w:style>
  <w:style w:type="character" w:styleId="Nmerodepgina">
    <w:name w:val="page number"/>
    <w:basedOn w:val="Fuentedeprrafopredeter"/>
    <w:rsid w:val="0044134B"/>
  </w:style>
  <w:style w:type="paragraph" w:styleId="Mapadeldocumento">
    <w:name w:val="Document Map"/>
    <w:basedOn w:val="Normal"/>
    <w:link w:val="MapadeldocumentoCar"/>
    <w:rsid w:val="00476FFB"/>
    <w:rPr>
      <w:rFonts w:ascii="Tahoma" w:hAnsi="Tahoma" w:cs="Tahoma"/>
      <w:sz w:val="16"/>
      <w:szCs w:val="16"/>
    </w:rPr>
  </w:style>
  <w:style w:type="character" w:customStyle="1" w:styleId="MapadeldocumentoCar">
    <w:name w:val="Mapa del documento Car"/>
    <w:basedOn w:val="Fuentedeprrafopredeter"/>
    <w:link w:val="Mapadeldocumento"/>
    <w:rsid w:val="00476FFB"/>
    <w:rPr>
      <w:rFonts w:ascii="Tahoma" w:hAnsi="Tahoma" w:cs="Tahoma"/>
      <w:sz w:val="16"/>
      <w:szCs w:val="16"/>
      <w:lang w:val="es-ES_tradnl" w:eastAsia="en-US"/>
    </w:rPr>
  </w:style>
  <w:style w:type="character" w:customStyle="1" w:styleId="TextoindependienteCar">
    <w:name w:val="Texto independiente Car"/>
    <w:basedOn w:val="Fuentedeprrafopredeter"/>
    <w:link w:val="Textoindependiente"/>
    <w:rsid w:val="006922B2"/>
    <w:rPr>
      <w:sz w:val="24"/>
      <w:lang w:val="es-ES_tradnl" w:eastAsia="en-US"/>
    </w:rPr>
  </w:style>
  <w:style w:type="character" w:styleId="Hipervnculo">
    <w:name w:val="Hyperlink"/>
    <w:basedOn w:val="Fuentedeprrafopredeter"/>
    <w:uiPriority w:val="99"/>
    <w:unhideWhenUsed/>
    <w:rsid w:val="00487A9C"/>
    <w:rPr>
      <w:color w:val="0000FF"/>
      <w:u w:val="single"/>
    </w:rPr>
  </w:style>
  <w:style w:type="paragraph" w:styleId="NormalWeb">
    <w:name w:val="Normal (Web)"/>
    <w:basedOn w:val="Normal"/>
    <w:uiPriority w:val="99"/>
    <w:unhideWhenUsed/>
    <w:rsid w:val="00487A9C"/>
    <w:pPr>
      <w:spacing w:before="100" w:beforeAutospacing="1" w:after="100" w:afterAutospacing="1"/>
      <w:jc w:val="left"/>
    </w:pPr>
    <w:rPr>
      <w:rFonts w:ascii="Times New Roman" w:eastAsia="Calibri" w:hAnsi="Times New Roman"/>
      <w:sz w:val="24"/>
      <w:lang w:val="es-ES" w:eastAsia="es-ES"/>
    </w:rPr>
  </w:style>
  <w:style w:type="paragraph" w:styleId="Prrafodelista">
    <w:name w:val="List Paragraph"/>
    <w:aliases w:val="Subtitulos"/>
    <w:basedOn w:val="Normal"/>
    <w:link w:val="PrrafodelistaCar"/>
    <w:uiPriority w:val="34"/>
    <w:qFormat/>
    <w:rsid w:val="002822BB"/>
    <w:pPr>
      <w:ind w:left="708"/>
      <w:jc w:val="left"/>
    </w:pPr>
    <w:rPr>
      <w:rFonts w:ascii="Times New Roman" w:hAnsi="Times New Roman"/>
      <w:sz w:val="24"/>
      <w:lang w:val="es-ES" w:eastAsia="es-ES"/>
    </w:rPr>
  </w:style>
  <w:style w:type="paragraph" w:styleId="Revisin">
    <w:name w:val="Revision"/>
    <w:hidden/>
    <w:uiPriority w:val="99"/>
    <w:semiHidden/>
    <w:rsid w:val="00E053A8"/>
    <w:rPr>
      <w:rFonts w:ascii="Arial" w:hAnsi="Arial"/>
      <w:szCs w:val="24"/>
      <w:lang w:val="es-ES_tradnl" w:eastAsia="en-US"/>
    </w:rPr>
  </w:style>
  <w:style w:type="paragraph" w:customStyle="1" w:styleId="Standard">
    <w:name w:val="Standard"/>
    <w:rsid w:val="00BA2CAB"/>
    <w:pPr>
      <w:suppressAutoHyphens/>
      <w:autoSpaceDN w:val="0"/>
      <w:textAlignment w:val="baseline"/>
    </w:pPr>
    <w:rPr>
      <w:rFonts w:ascii="Calibri" w:eastAsia="F" w:hAnsi="Calibri" w:cs="F"/>
      <w:sz w:val="22"/>
      <w:szCs w:val="22"/>
    </w:rPr>
  </w:style>
  <w:style w:type="character" w:customStyle="1" w:styleId="Mencinsinresolver1">
    <w:name w:val="Mención sin resolver1"/>
    <w:basedOn w:val="Fuentedeprrafopredeter"/>
    <w:uiPriority w:val="99"/>
    <w:semiHidden/>
    <w:unhideWhenUsed/>
    <w:rsid w:val="00AF0B43"/>
    <w:rPr>
      <w:color w:val="605E5C"/>
      <w:shd w:val="clear" w:color="auto" w:fill="E1DFDD"/>
    </w:rPr>
  </w:style>
  <w:style w:type="paragraph" w:customStyle="1" w:styleId="Default">
    <w:name w:val="Default"/>
    <w:rsid w:val="00BB4153"/>
    <w:pPr>
      <w:autoSpaceDE w:val="0"/>
      <w:autoSpaceDN w:val="0"/>
      <w:adjustRightInd w:val="0"/>
    </w:pPr>
    <w:rPr>
      <w:rFonts w:ascii="Arial" w:hAnsi="Arial" w:cs="Arial"/>
      <w:color w:val="000000"/>
      <w:sz w:val="24"/>
      <w:szCs w:val="24"/>
    </w:rPr>
  </w:style>
  <w:style w:type="character" w:customStyle="1" w:styleId="PrrafodelistaCar">
    <w:name w:val="Párrafo de lista Car"/>
    <w:aliases w:val="Subtitulos Car"/>
    <w:basedOn w:val="Fuentedeprrafopredeter"/>
    <w:link w:val="Prrafodelista"/>
    <w:uiPriority w:val="34"/>
    <w:locked/>
    <w:rsid w:val="00206E84"/>
    <w:rPr>
      <w:sz w:val="24"/>
      <w:szCs w:val="24"/>
    </w:rPr>
  </w:style>
  <w:style w:type="character" w:styleId="Mencinsinresolver">
    <w:name w:val="Unresolved Mention"/>
    <w:basedOn w:val="Fuentedeprrafopredeter"/>
    <w:uiPriority w:val="99"/>
    <w:semiHidden/>
    <w:unhideWhenUsed/>
    <w:rsid w:val="00424107"/>
    <w:rPr>
      <w:color w:val="605E5C"/>
      <w:shd w:val="clear" w:color="auto" w:fill="E1DFDD"/>
    </w:rPr>
  </w:style>
  <w:style w:type="paragraph" w:customStyle="1" w:styleId="parrafo2">
    <w:name w:val="parrafo_2"/>
    <w:basedOn w:val="Normal"/>
    <w:rsid w:val="002F35F2"/>
    <w:pPr>
      <w:spacing w:before="100" w:beforeAutospacing="1" w:after="100" w:afterAutospacing="1"/>
      <w:jc w:val="left"/>
    </w:pPr>
    <w:rPr>
      <w:rFonts w:ascii="Aptos" w:eastAsiaTheme="minorHAnsi" w:hAnsi="Aptos" w:cs="Aptos"/>
      <w:sz w:val="24"/>
      <w:lang w:val="es-ES" w:eastAsia="es-ES"/>
    </w:rPr>
  </w:style>
  <w:style w:type="paragraph" w:customStyle="1" w:styleId="parrafo">
    <w:name w:val="parrafo"/>
    <w:basedOn w:val="Normal"/>
    <w:rsid w:val="002F35F2"/>
    <w:pPr>
      <w:spacing w:before="100" w:beforeAutospacing="1" w:after="100" w:afterAutospacing="1"/>
      <w:jc w:val="left"/>
    </w:pPr>
    <w:rPr>
      <w:rFonts w:ascii="Aptos" w:eastAsiaTheme="minorHAnsi" w:hAnsi="Aptos" w:cs="Aptos"/>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3734">
      <w:bodyDiv w:val="1"/>
      <w:marLeft w:val="0"/>
      <w:marRight w:val="0"/>
      <w:marTop w:val="0"/>
      <w:marBottom w:val="0"/>
      <w:divBdr>
        <w:top w:val="none" w:sz="0" w:space="0" w:color="auto"/>
        <w:left w:val="none" w:sz="0" w:space="0" w:color="auto"/>
        <w:bottom w:val="none" w:sz="0" w:space="0" w:color="auto"/>
        <w:right w:val="none" w:sz="0" w:space="0" w:color="auto"/>
      </w:divBdr>
    </w:div>
    <w:div w:id="129247886">
      <w:bodyDiv w:val="1"/>
      <w:marLeft w:val="0"/>
      <w:marRight w:val="0"/>
      <w:marTop w:val="0"/>
      <w:marBottom w:val="0"/>
      <w:divBdr>
        <w:top w:val="none" w:sz="0" w:space="0" w:color="auto"/>
        <w:left w:val="none" w:sz="0" w:space="0" w:color="auto"/>
        <w:bottom w:val="none" w:sz="0" w:space="0" w:color="auto"/>
        <w:right w:val="none" w:sz="0" w:space="0" w:color="auto"/>
      </w:divBdr>
    </w:div>
    <w:div w:id="140469431">
      <w:bodyDiv w:val="1"/>
      <w:marLeft w:val="0"/>
      <w:marRight w:val="0"/>
      <w:marTop w:val="0"/>
      <w:marBottom w:val="0"/>
      <w:divBdr>
        <w:top w:val="none" w:sz="0" w:space="0" w:color="auto"/>
        <w:left w:val="none" w:sz="0" w:space="0" w:color="auto"/>
        <w:bottom w:val="none" w:sz="0" w:space="0" w:color="auto"/>
        <w:right w:val="none" w:sz="0" w:space="0" w:color="auto"/>
      </w:divBdr>
    </w:div>
    <w:div w:id="146477518">
      <w:bodyDiv w:val="1"/>
      <w:marLeft w:val="0"/>
      <w:marRight w:val="0"/>
      <w:marTop w:val="0"/>
      <w:marBottom w:val="0"/>
      <w:divBdr>
        <w:top w:val="none" w:sz="0" w:space="0" w:color="auto"/>
        <w:left w:val="none" w:sz="0" w:space="0" w:color="auto"/>
        <w:bottom w:val="none" w:sz="0" w:space="0" w:color="auto"/>
        <w:right w:val="none" w:sz="0" w:space="0" w:color="auto"/>
      </w:divBdr>
    </w:div>
    <w:div w:id="244581215">
      <w:bodyDiv w:val="1"/>
      <w:marLeft w:val="0"/>
      <w:marRight w:val="0"/>
      <w:marTop w:val="0"/>
      <w:marBottom w:val="0"/>
      <w:divBdr>
        <w:top w:val="none" w:sz="0" w:space="0" w:color="auto"/>
        <w:left w:val="none" w:sz="0" w:space="0" w:color="auto"/>
        <w:bottom w:val="none" w:sz="0" w:space="0" w:color="auto"/>
        <w:right w:val="none" w:sz="0" w:space="0" w:color="auto"/>
      </w:divBdr>
    </w:div>
    <w:div w:id="259875145">
      <w:bodyDiv w:val="1"/>
      <w:marLeft w:val="0"/>
      <w:marRight w:val="0"/>
      <w:marTop w:val="0"/>
      <w:marBottom w:val="0"/>
      <w:divBdr>
        <w:top w:val="none" w:sz="0" w:space="0" w:color="auto"/>
        <w:left w:val="none" w:sz="0" w:space="0" w:color="auto"/>
        <w:bottom w:val="none" w:sz="0" w:space="0" w:color="auto"/>
        <w:right w:val="none" w:sz="0" w:space="0" w:color="auto"/>
      </w:divBdr>
    </w:div>
    <w:div w:id="261686863">
      <w:bodyDiv w:val="1"/>
      <w:marLeft w:val="0"/>
      <w:marRight w:val="0"/>
      <w:marTop w:val="0"/>
      <w:marBottom w:val="0"/>
      <w:divBdr>
        <w:top w:val="none" w:sz="0" w:space="0" w:color="auto"/>
        <w:left w:val="none" w:sz="0" w:space="0" w:color="auto"/>
        <w:bottom w:val="none" w:sz="0" w:space="0" w:color="auto"/>
        <w:right w:val="none" w:sz="0" w:space="0" w:color="auto"/>
      </w:divBdr>
    </w:div>
    <w:div w:id="281959155">
      <w:bodyDiv w:val="1"/>
      <w:marLeft w:val="0"/>
      <w:marRight w:val="0"/>
      <w:marTop w:val="0"/>
      <w:marBottom w:val="0"/>
      <w:divBdr>
        <w:top w:val="none" w:sz="0" w:space="0" w:color="auto"/>
        <w:left w:val="none" w:sz="0" w:space="0" w:color="auto"/>
        <w:bottom w:val="none" w:sz="0" w:space="0" w:color="auto"/>
        <w:right w:val="none" w:sz="0" w:space="0" w:color="auto"/>
      </w:divBdr>
    </w:div>
    <w:div w:id="352733988">
      <w:bodyDiv w:val="1"/>
      <w:marLeft w:val="0"/>
      <w:marRight w:val="0"/>
      <w:marTop w:val="0"/>
      <w:marBottom w:val="0"/>
      <w:divBdr>
        <w:top w:val="none" w:sz="0" w:space="0" w:color="auto"/>
        <w:left w:val="none" w:sz="0" w:space="0" w:color="auto"/>
        <w:bottom w:val="none" w:sz="0" w:space="0" w:color="auto"/>
        <w:right w:val="none" w:sz="0" w:space="0" w:color="auto"/>
      </w:divBdr>
    </w:div>
    <w:div w:id="405494282">
      <w:bodyDiv w:val="1"/>
      <w:marLeft w:val="0"/>
      <w:marRight w:val="0"/>
      <w:marTop w:val="0"/>
      <w:marBottom w:val="0"/>
      <w:divBdr>
        <w:top w:val="none" w:sz="0" w:space="0" w:color="auto"/>
        <w:left w:val="none" w:sz="0" w:space="0" w:color="auto"/>
        <w:bottom w:val="none" w:sz="0" w:space="0" w:color="auto"/>
        <w:right w:val="none" w:sz="0" w:space="0" w:color="auto"/>
      </w:divBdr>
    </w:div>
    <w:div w:id="407312296">
      <w:bodyDiv w:val="1"/>
      <w:marLeft w:val="0"/>
      <w:marRight w:val="0"/>
      <w:marTop w:val="0"/>
      <w:marBottom w:val="0"/>
      <w:divBdr>
        <w:top w:val="none" w:sz="0" w:space="0" w:color="auto"/>
        <w:left w:val="none" w:sz="0" w:space="0" w:color="auto"/>
        <w:bottom w:val="none" w:sz="0" w:space="0" w:color="auto"/>
        <w:right w:val="none" w:sz="0" w:space="0" w:color="auto"/>
      </w:divBdr>
    </w:div>
    <w:div w:id="438447857">
      <w:bodyDiv w:val="1"/>
      <w:marLeft w:val="0"/>
      <w:marRight w:val="0"/>
      <w:marTop w:val="0"/>
      <w:marBottom w:val="0"/>
      <w:divBdr>
        <w:top w:val="none" w:sz="0" w:space="0" w:color="auto"/>
        <w:left w:val="none" w:sz="0" w:space="0" w:color="auto"/>
        <w:bottom w:val="none" w:sz="0" w:space="0" w:color="auto"/>
        <w:right w:val="none" w:sz="0" w:space="0" w:color="auto"/>
      </w:divBdr>
    </w:div>
    <w:div w:id="457575875">
      <w:bodyDiv w:val="1"/>
      <w:marLeft w:val="0"/>
      <w:marRight w:val="0"/>
      <w:marTop w:val="0"/>
      <w:marBottom w:val="0"/>
      <w:divBdr>
        <w:top w:val="none" w:sz="0" w:space="0" w:color="auto"/>
        <w:left w:val="none" w:sz="0" w:space="0" w:color="auto"/>
        <w:bottom w:val="none" w:sz="0" w:space="0" w:color="auto"/>
        <w:right w:val="none" w:sz="0" w:space="0" w:color="auto"/>
      </w:divBdr>
    </w:div>
    <w:div w:id="512380044">
      <w:bodyDiv w:val="1"/>
      <w:marLeft w:val="0"/>
      <w:marRight w:val="0"/>
      <w:marTop w:val="0"/>
      <w:marBottom w:val="0"/>
      <w:divBdr>
        <w:top w:val="none" w:sz="0" w:space="0" w:color="auto"/>
        <w:left w:val="none" w:sz="0" w:space="0" w:color="auto"/>
        <w:bottom w:val="none" w:sz="0" w:space="0" w:color="auto"/>
        <w:right w:val="none" w:sz="0" w:space="0" w:color="auto"/>
      </w:divBdr>
    </w:div>
    <w:div w:id="517276069">
      <w:bodyDiv w:val="1"/>
      <w:marLeft w:val="0"/>
      <w:marRight w:val="0"/>
      <w:marTop w:val="0"/>
      <w:marBottom w:val="0"/>
      <w:divBdr>
        <w:top w:val="none" w:sz="0" w:space="0" w:color="auto"/>
        <w:left w:val="none" w:sz="0" w:space="0" w:color="auto"/>
        <w:bottom w:val="none" w:sz="0" w:space="0" w:color="auto"/>
        <w:right w:val="none" w:sz="0" w:space="0" w:color="auto"/>
      </w:divBdr>
    </w:div>
    <w:div w:id="520821348">
      <w:bodyDiv w:val="1"/>
      <w:marLeft w:val="0"/>
      <w:marRight w:val="0"/>
      <w:marTop w:val="0"/>
      <w:marBottom w:val="0"/>
      <w:divBdr>
        <w:top w:val="none" w:sz="0" w:space="0" w:color="auto"/>
        <w:left w:val="none" w:sz="0" w:space="0" w:color="auto"/>
        <w:bottom w:val="none" w:sz="0" w:space="0" w:color="auto"/>
        <w:right w:val="none" w:sz="0" w:space="0" w:color="auto"/>
      </w:divBdr>
    </w:div>
    <w:div w:id="543714263">
      <w:bodyDiv w:val="1"/>
      <w:marLeft w:val="0"/>
      <w:marRight w:val="0"/>
      <w:marTop w:val="0"/>
      <w:marBottom w:val="0"/>
      <w:divBdr>
        <w:top w:val="none" w:sz="0" w:space="0" w:color="auto"/>
        <w:left w:val="none" w:sz="0" w:space="0" w:color="auto"/>
        <w:bottom w:val="none" w:sz="0" w:space="0" w:color="auto"/>
        <w:right w:val="none" w:sz="0" w:space="0" w:color="auto"/>
      </w:divBdr>
    </w:div>
    <w:div w:id="586773857">
      <w:bodyDiv w:val="1"/>
      <w:marLeft w:val="0"/>
      <w:marRight w:val="0"/>
      <w:marTop w:val="0"/>
      <w:marBottom w:val="0"/>
      <w:divBdr>
        <w:top w:val="none" w:sz="0" w:space="0" w:color="auto"/>
        <w:left w:val="none" w:sz="0" w:space="0" w:color="auto"/>
        <w:bottom w:val="none" w:sz="0" w:space="0" w:color="auto"/>
        <w:right w:val="none" w:sz="0" w:space="0" w:color="auto"/>
      </w:divBdr>
    </w:div>
    <w:div w:id="611321059">
      <w:bodyDiv w:val="1"/>
      <w:marLeft w:val="0"/>
      <w:marRight w:val="0"/>
      <w:marTop w:val="0"/>
      <w:marBottom w:val="0"/>
      <w:divBdr>
        <w:top w:val="none" w:sz="0" w:space="0" w:color="auto"/>
        <w:left w:val="none" w:sz="0" w:space="0" w:color="auto"/>
        <w:bottom w:val="none" w:sz="0" w:space="0" w:color="auto"/>
        <w:right w:val="none" w:sz="0" w:space="0" w:color="auto"/>
      </w:divBdr>
    </w:div>
    <w:div w:id="635183564">
      <w:bodyDiv w:val="1"/>
      <w:marLeft w:val="0"/>
      <w:marRight w:val="0"/>
      <w:marTop w:val="0"/>
      <w:marBottom w:val="0"/>
      <w:divBdr>
        <w:top w:val="none" w:sz="0" w:space="0" w:color="auto"/>
        <w:left w:val="none" w:sz="0" w:space="0" w:color="auto"/>
        <w:bottom w:val="none" w:sz="0" w:space="0" w:color="auto"/>
        <w:right w:val="none" w:sz="0" w:space="0" w:color="auto"/>
      </w:divBdr>
    </w:div>
    <w:div w:id="657654576">
      <w:bodyDiv w:val="1"/>
      <w:marLeft w:val="0"/>
      <w:marRight w:val="0"/>
      <w:marTop w:val="0"/>
      <w:marBottom w:val="0"/>
      <w:divBdr>
        <w:top w:val="none" w:sz="0" w:space="0" w:color="auto"/>
        <w:left w:val="none" w:sz="0" w:space="0" w:color="auto"/>
        <w:bottom w:val="none" w:sz="0" w:space="0" w:color="auto"/>
        <w:right w:val="none" w:sz="0" w:space="0" w:color="auto"/>
      </w:divBdr>
    </w:div>
    <w:div w:id="666595368">
      <w:bodyDiv w:val="1"/>
      <w:marLeft w:val="0"/>
      <w:marRight w:val="0"/>
      <w:marTop w:val="0"/>
      <w:marBottom w:val="0"/>
      <w:divBdr>
        <w:top w:val="none" w:sz="0" w:space="0" w:color="auto"/>
        <w:left w:val="none" w:sz="0" w:space="0" w:color="auto"/>
        <w:bottom w:val="none" w:sz="0" w:space="0" w:color="auto"/>
        <w:right w:val="none" w:sz="0" w:space="0" w:color="auto"/>
      </w:divBdr>
    </w:div>
    <w:div w:id="696393066">
      <w:bodyDiv w:val="1"/>
      <w:marLeft w:val="0"/>
      <w:marRight w:val="0"/>
      <w:marTop w:val="0"/>
      <w:marBottom w:val="0"/>
      <w:divBdr>
        <w:top w:val="none" w:sz="0" w:space="0" w:color="auto"/>
        <w:left w:val="none" w:sz="0" w:space="0" w:color="auto"/>
        <w:bottom w:val="none" w:sz="0" w:space="0" w:color="auto"/>
        <w:right w:val="none" w:sz="0" w:space="0" w:color="auto"/>
      </w:divBdr>
    </w:div>
    <w:div w:id="735125959">
      <w:bodyDiv w:val="1"/>
      <w:marLeft w:val="0"/>
      <w:marRight w:val="0"/>
      <w:marTop w:val="0"/>
      <w:marBottom w:val="0"/>
      <w:divBdr>
        <w:top w:val="none" w:sz="0" w:space="0" w:color="auto"/>
        <w:left w:val="none" w:sz="0" w:space="0" w:color="auto"/>
        <w:bottom w:val="none" w:sz="0" w:space="0" w:color="auto"/>
        <w:right w:val="none" w:sz="0" w:space="0" w:color="auto"/>
      </w:divBdr>
    </w:div>
    <w:div w:id="767241387">
      <w:bodyDiv w:val="1"/>
      <w:marLeft w:val="0"/>
      <w:marRight w:val="0"/>
      <w:marTop w:val="0"/>
      <w:marBottom w:val="0"/>
      <w:divBdr>
        <w:top w:val="none" w:sz="0" w:space="0" w:color="auto"/>
        <w:left w:val="none" w:sz="0" w:space="0" w:color="auto"/>
        <w:bottom w:val="none" w:sz="0" w:space="0" w:color="auto"/>
        <w:right w:val="none" w:sz="0" w:space="0" w:color="auto"/>
      </w:divBdr>
    </w:div>
    <w:div w:id="830679161">
      <w:bodyDiv w:val="1"/>
      <w:marLeft w:val="0"/>
      <w:marRight w:val="0"/>
      <w:marTop w:val="0"/>
      <w:marBottom w:val="0"/>
      <w:divBdr>
        <w:top w:val="none" w:sz="0" w:space="0" w:color="auto"/>
        <w:left w:val="none" w:sz="0" w:space="0" w:color="auto"/>
        <w:bottom w:val="none" w:sz="0" w:space="0" w:color="auto"/>
        <w:right w:val="none" w:sz="0" w:space="0" w:color="auto"/>
      </w:divBdr>
    </w:div>
    <w:div w:id="919951804">
      <w:bodyDiv w:val="1"/>
      <w:marLeft w:val="0"/>
      <w:marRight w:val="0"/>
      <w:marTop w:val="0"/>
      <w:marBottom w:val="0"/>
      <w:divBdr>
        <w:top w:val="none" w:sz="0" w:space="0" w:color="auto"/>
        <w:left w:val="none" w:sz="0" w:space="0" w:color="auto"/>
        <w:bottom w:val="none" w:sz="0" w:space="0" w:color="auto"/>
        <w:right w:val="none" w:sz="0" w:space="0" w:color="auto"/>
      </w:divBdr>
    </w:div>
    <w:div w:id="964889769">
      <w:bodyDiv w:val="1"/>
      <w:marLeft w:val="0"/>
      <w:marRight w:val="0"/>
      <w:marTop w:val="0"/>
      <w:marBottom w:val="0"/>
      <w:divBdr>
        <w:top w:val="none" w:sz="0" w:space="0" w:color="auto"/>
        <w:left w:val="none" w:sz="0" w:space="0" w:color="auto"/>
        <w:bottom w:val="none" w:sz="0" w:space="0" w:color="auto"/>
        <w:right w:val="none" w:sz="0" w:space="0" w:color="auto"/>
      </w:divBdr>
    </w:div>
    <w:div w:id="965739821">
      <w:bodyDiv w:val="1"/>
      <w:marLeft w:val="0"/>
      <w:marRight w:val="0"/>
      <w:marTop w:val="0"/>
      <w:marBottom w:val="0"/>
      <w:divBdr>
        <w:top w:val="none" w:sz="0" w:space="0" w:color="auto"/>
        <w:left w:val="none" w:sz="0" w:space="0" w:color="auto"/>
        <w:bottom w:val="none" w:sz="0" w:space="0" w:color="auto"/>
        <w:right w:val="none" w:sz="0" w:space="0" w:color="auto"/>
      </w:divBdr>
    </w:div>
    <w:div w:id="976715066">
      <w:bodyDiv w:val="1"/>
      <w:marLeft w:val="0"/>
      <w:marRight w:val="0"/>
      <w:marTop w:val="0"/>
      <w:marBottom w:val="0"/>
      <w:divBdr>
        <w:top w:val="none" w:sz="0" w:space="0" w:color="auto"/>
        <w:left w:val="none" w:sz="0" w:space="0" w:color="auto"/>
        <w:bottom w:val="none" w:sz="0" w:space="0" w:color="auto"/>
        <w:right w:val="none" w:sz="0" w:space="0" w:color="auto"/>
      </w:divBdr>
    </w:div>
    <w:div w:id="980886697">
      <w:bodyDiv w:val="1"/>
      <w:marLeft w:val="0"/>
      <w:marRight w:val="0"/>
      <w:marTop w:val="0"/>
      <w:marBottom w:val="0"/>
      <w:divBdr>
        <w:top w:val="none" w:sz="0" w:space="0" w:color="auto"/>
        <w:left w:val="none" w:sz="0" w:space="0" w:color="auto"/>
        <w:bottom w:val="none" w:sz="0" w:space="0" w:color="auto"/>
        <w:right w:val="none" w:sz="0" w:space="0" w:color="auto"/>
      </w:divBdr>
    </w:div>
    <w:div w:id="984090257">
      <w:bodyDiv w:val="1"/>
      <w:marLeft w:val="0"/>
      <w:marRight w:val="0"/>
      <w:marTop w:val="0"/>
      <w:marBottom w:val="0"/>
      <w:divBdr>
        <w:top w:val="none" w:sz="0" w:space="0" w:color="auto"/>
        <w:left w:val="none" w:sz="0" w:space="0" w:color="auto"/>
        <w:bottom w:val="none" w:sz="0" w:space="0" w:color="auto"/>
        <w:right w:val="none" w:sz="0" w:space="0" w:color="auto"/>
      </w:divBdr>
    </w:div>
    <w:div w:id="1015612713">
      <w:bodyDiv w:val="1"/>
      <w:marLeft w:val="0"/>
      <w:marRight w:val="0"/>
      <w:marTop w:val="0"/>
      <w:marBottom w:val="0"/>
      <w:divBdr>
        <w:top w:val="none" w:sz="0" w:space="0" w:color="auto"/>
        <w:left w:val="none" w:sz="0" w:space="0" w:color="auto"/>
        <w:bottom w:val="none" w:sz="0" w:space="0" w:color="auto"/>
        <w:right w:val="none" w:sz="0" w:space="0" w:color="auto"/>
      </w:divBdr>
    </w:div>
    <w:div w:id="1028869377">
      <w:bodyDiv w:val="1"/>
      <w:marLeft w:val="0"/>
      <w:marRight w:val="0"/>
      <w:marTop w:val="0"/>
      <w:marBottom w:val="0"/>
      <w:divBdr>
        <w:top w:val="none" w:sz="0" w:space="0" w:color="auto"/>
        <w:left w:val="none" w:sz="0" w:space="0" w:color="auto"/>
        <w:bottom w:val="none" w:sz="0" w:space="0" w:color="auto"/>
        <w:right w:val="none" w:sz="0" w:space="0" w:color="auto"/>
      </w:divBdr>
    </w:div>
    <w:div w:id="1056392634">
      <w:bodyDiv w:val="1"/>
      <w:marLeft w:val="0"/>
      <w:marRight w:val="0"/>
      <w:marTop w:val="0"/>
      <w:marBottom w:val="0"/>
      <w:divBdr>
        <w:top w:val="none" w:sz="0" w:space="0" w:color="auto"/>
        <w:left w:val="none" w:sz="0" w:space="0" w:color="auto"/>
        <w:bottom w:val="none" w:sz="0" w:space="0" w:color="auto"/>
        <w:right w:val="none" w:sz="0" w:space="0" w:color="auto"/>
      </w:divBdr>
    </w:div>
    <w:div w:id="1069888632">
      <w:bodyDiv w:val="1"/>
      <w:marLeft w:val="0"/>
      <w:marRight w:val="0"/>
      <w:marTop w:val="0"/>
      <w:marBottom w:val="0"/>
      <w:divBdr>
        <w:top w:val="none" w:sz="0" w:space="0" w:color="auto"/>
        <w:left w:val="none" w:sz="0" w:space="0" w:color="auto"/>
        <w:bottom w:val="none" w:sz="0" w:space="0" w:color="auto"/>
        <w:right w:val="none" w:sz="0" w:space="0" w:color="auto"/>
      </w:divBdr>
    </w:div>
    <w:div w:id="1082411193">
      <w:bodyDiv w:val="1"/>
      <w:marLeft w:val="0"/>
      <w:marRight w:val="0"/>
      <w:marTop w:val="0"/>
      <w:marBottom w:val="0"/>
      <w:divBdr>
        <w:top w:val="none" w:sz="0" w:space="0" w:color="auto"/>
        <w:left w:val="none" w:sz="0" w:space="0" w:color="auto"/>
        <w:bottom w:val="none" w:sz="0" w:space="0" w:color="auto"/>
        <w:right w:val="none" w:sz="0" w:space="0" w:color="auto"/>
      </w:divBdr>
    </w:div>
    <w:div w:id="1082533996">
      <w:bodyDiv w:val="1"/>
      <w:marLeft w:val="0"/>
      <w:marRight w:val="0"/>
      <w:marTop w:val="0"/>
      <w:marBottom w:val="0"/>
      <w:divBdr>
        <w:top w:val="none" w:sz="0" w:space="0" w:color="auto"/>
        <w:left w:val="none" w:sz="0" w:space="0" w:color="auto"/>
        <w:bottom w:val="none" w:sz="0" w:space="0" w:color="auto"/>
        <w:right w:val="none" w:sz="0" w:space="0" w:color="auto"/>
      </w:divBdr>
    </w:div>
    <w:div w:id="1146359788">
      <w:bodyDiv w:val="1"/>
      <w:marLeft w:val="0"/>
      <w:marRight w:val="0"/>
      <w:marTop w:val="0"/>
      <w:marBottom w:val="0"/>
      <w:divBdr>
        <w:top w:val="none" w:sz="0" w:space="0" w:color="auto"/>
        <w:left w:val="none" w:sz="0" w:space="0" w:color="auto"/>
        <w:bottom w:val="none" w:sz="0" w:space="0" w:color="auto"/>
        <w:right w:val="none" w:sz="0" w:space="0" w:color="auto"/>
      </w:divBdr>
    </w:div>
    <w:div w:id="1204369683">
      <w:bodyDiv w:val="1"/>
      <w:marLeft w:val="0"/>
      <w:marRight w:val="0"/>
      <w:marTop w:val="0"/>
      <w:marBottom w:val="0"/>
      <w:divBdr>
        <w:top w:val="none" w:sz="0" w:space="0" w:color="auto"/>
        <w:left w:val="none" w:sz="0" w:space="0" w:color="auto"/>
        <w:bottom w:val="none" w:sz="0" w:space="0" w:color="auto"/>
        <w:right w:val="none" w:sz="0" w:space="0" w:color="auto"/>
      </w:divBdr>
    </w:div>
    <w:div w:id="1221942328">
      <w:bodyDiv w:val="1"/>
      <w:marLeft w:val="0"/>
      <w:marRight w:val="0"/>
      <w:marTop w:val="0"/>
      <w:marBottom w:val="0"/>
      <w:divBdr>
        <w:top w:val="none" w:sz="0" w:space="0" w:color="auto"/>
        <w:left w:val="none" w:sz="0" w:space="0" w:color="auto"/>
        <w:bottom w:val="none" w:sz="0" w:space="0" w:color="auto"/>
        <w:right w:val="none" w:sz="0" w:space="0" w:color="auto"/>
      </w:divBdr>
    </w:div>
    <w:div w:id="1248271075">
      <w:bodyDiv w:val="1"/>
      <w:marLeft w:val="0"/>
      <w:marRight w:val="0"/>
      <w:marTop w:val="0"/>
      <w:marBottom w:val="0"/>
      <w:divBdr>
        <w:top w:val="none" w:sz="0" w:space="0" w:color="auto"/>
        <w:left w:val="none" w:sz="0" w:space="0" w:color="auto"/>
        <w:bottom w:val="none" w:sz="0" w:space="0" w:color="auto"/>
        <w:right w:val="none" w:sz="0" w:space="0" w:color="auto"/>
      </w:divBdr>
    </w:div>
    <w:div w:id="1252203000">
      <w:bodyDiv w:val="1"/>
      <w:marLeft w:val="0"/>
      <w:marRight w:val="0"/>
      <w:marTop w:val="0"/>
      <w:marBottom w:val="0"/>
      <w:divBdr>
        <w:top w:val="none" w:sz="0" w:space="0" w:color="auto"/>
        <w:left w:val="none" w:sz="0" w:space="0" w:color="auto"/>
        <w:bottom w:val="none" w:sz="0" w:space="0" w:color="auto"/>
        <w:right w:val="none" w:sz="0" w:space="0" w:color="auto"/>
      </w:divBdr>
    </w:div>
    <w:div w:id="1288273398">
      <w:bodyDiv w:val="1"/>
      <w:marLeft w:val="0"/>
      <w:marRight w:val="0"/>
      <w:marTop w:val="0"/>
      <w:marBottom w:val="0"/>
      <w:divBdr>
        <w:top w:val="none" w:sz="0" w:space="0" w:color="auto"/>
        <w:left w:val="none" w:sz="0" w:space="0" w:color="auto"/>
        <w:bottom w:val="none" w:sz="0" w:space="0" w:color="auto"/>
        <w:right w:val="none" w:sz="0" w:space="0" w:color="auto"/>
      </w:divBdr>
    </w:div>
    <w:div w:id="1294141352">
      <w:bodyDiv w:val="1"/>
      <w:marLeft w:val="0"/>
      <w:marRight w:val="0"/>
      <w:marTop w:val="0"/>
      <w:marBottom w:val="0"/>
      <w:divBdr>
        <w:top w:val="none" w:sz="0" w:space="0" w:color="auto"/>
        <w:left w:val="none" w:sz="0" w:space="0" w:color="auto"/>
        <w:bottom w:val="none" w:sz="0" w:space="0" w:color="auto"/>
        <w:right w:val="none" w:sz="0" w:space="0" w:color="auto"/>
      </w:divBdr>
    </w:div>
    <w:div w:id="1303847042">
      <w:bodyDiv w:val="1"/>
      <w:marLeft w:val="0"/>
      <w:marRight w:val="0"/>
      <w:marTop w:val="0"/>
      <w:marBottom w:val="0"/>
      <w:divBdr>
        <w:top w:val="none" w:sz="0" w:space="0" w:color="auto"/>
        <w:left w:val="none" w:sz="0" w:space="0" w:color="auto"/>
        <w:bottom w:val="none" w:sz="0" w:space="0" w:color="auto"/>
        <w:right w:val="none" w:sz="0" w:space="0" w:color="auto"/>
      </w:divBdr>
    </w:div>
    <w:div w:id="1318920077">
      <w:bodyDiv w:val="1"/>
      <w:marLeft w:val="0"/>
      <w:marRight w:val="0"/>
      <w:marTop w:val="0"/>
      <w:marBottom w:val="0"/>
      <w:divBdr>
        <w:top w:val="none" w:sz="0" w:space="0" w:color="auto"/>
        <w:left w:val="none" w:sz="0" w:space="0" w:color="auto"/>
        <w:bottom w:val="none" w:sz="0" w:space="0" w:color="auto"/>
        <w:right w:val="none" w:sz="0" w:space="0" w:color="auto"/>
      </w:divBdr>
    </w:div>
    <w:div w:id="1393886166">
      <w:bodyDiv w:val="1"/>
      <w:marLeft w:val="0"/>
      <w:marRight w:val="0"/>
      <w:marTop w:val="0"/>
      <w:marBottom w:val="0"/>
      <w:divBdr>
        <w:top w:val="none" w:sz="0" w:space="0" w:color="auto"/>
        <w:left w:val="none" w:sz="0" w:space="0" w:color="auto"/>
        <w:bottom w:val="none" w:sz="0" w:space="0" w:color="auto"/>
        <w:right w:val="none" w:sz="0" w:space="0" w:color="auto"/>
      </w:divBdr>
    </w:div>
    <w:div w:id="1407023539">
      <w:bodyDiv w:val="1"/>
      <w:marLeft w:val="0"/>
      <w:marRight w:val="0"/>
      <w:marTop w:val="0"/>
      <w:marBottom w:val="0"/>
      <w:divBdr>
        <w:top w:val="none" w:sz="0" w:space="0" w:color="auto"/>
        <w:left w:val="none" w:sz="0" w:space="0" w:color="auto"/>
        <w:bottom w:val="none" w:sz="0" w:space="0" w:color="auto"/>
        <w:right w:val="none" w:sz="0" w:space="0" w:color="auto"/>
      </w:divBdr>
    </w:div>
    <w:div w:id="1411463892">
      <w:bodyDiv w:val="1"/>
      <w:marLeft w:val="0"/>
      <w:marRight w:val="0"/>
      <w:marTop w:val="0"/>
      <w:marBottom w:val="0"/>
      <w:divBdr>
        <w:top w:val="none" w:sz="0" w:space="0" w:color="auto"/>
        <w:left w:val="none" w:sz="0" w:space="0" w:color="auto"/>
        <w:bottom w:val="none" w:sz="0" w:space="0" w:color="auto"/>
        <w:right w:val="none" w:sz="0" w:space="0" w:color="auto"/>
      </w:divBdr>
    </w:div>
    <w:div w:id="1458181741">
      <w:bodyDiv w:val="1"/>
      <w:marLeft w:val="0"/>
      <w:marRight w:val="0"/>
      <w:marTop w:val="0"/>
      <w:marBottom w:val="0"/>
      <w:divBdr>
        <w:top w:val="none" w:sz="0" w:space="0" w:color="auto"/>
        <w:left w:val="none" w:sz="0" w:space="0" w:color="auto"/>
        <w:bottom w:val="none" w:sz="0" w:space="0" w:color="auto"/>
        <w:right w:val="none" w:sz="0" w:space="0" w:color="auto"/>
      </w:divBdr>
    </w:div>
    <w:div w:id="1465196257">
      <w:bodyDiv w:val="1"/>
      <w:marLeft w:val="0"/>
      <w:marRight w:val="0"/>
      <w:marTop w:val="0"/>
      <w:marBottom w:val="0"/>
      <w:divBdr>
        <w:top w:val="none" w:sz="0" w:space="0" w:color="auto"/>
        <w:left w:val="none" w:sz="0" w:space="0" w:color="auto"/>
        <w:bottom w:val="none" w:sz="0" w:space="0" w:color="auto"/>
        <w:right w:val="none" w:sz="0" w:space="0" w:color="auto"/>
      </w:divBdr>
    </w:div>
    <w:div w:id="1478111860">
      <w:bodyDiv w:val="1"/>
      <w:marLeft w:val="0"/>
      <w:marRight w:val="0"/>
      <w:marTop w:val="0"/>
      <w:marBottom w:val="0"/>
      <w:divBdr>
        <w:top w:val="none" w:sz="0" w:space="0" w:color="auto"/>
        <w:left w:val="none" w:sz="0" w:space="0" w:color="auto"/>
        <w:bottom w:val="none" w:sz="0" w:space="0" w:color="auto"/>
        <w:right w:val="none" w:sz="0" w:space="0" w:color="auto"/>
      </w:divBdr>
    </w:div>
    <w:div w:id="1492019151">
      <w:bodyDiv w:val="1"/>
      <w:marLeft w:val="0"/>
      <w:marRight w:val="0"/>
      <w:marTop w:val="0"/>
      <w:marBottom w:val="0"/>
      <w:divBdr>
        <w:top w:val="none" w:sz="0" w:space="0" w:color="auto"/>
        <w:left w:val="none" w:sz="0" w:space="0" w:color="auto"/>
        <w:bottom w:val="none" w:sz="0" w:space="0" w:color="auto"/>
        <w:right w:val="none" w:sz="0" w:space="0" w:color="auto"/>
      </w:divBdr>
    </w:div>
    <w:div w:id="1510482868">
      <w:bodyDiv w:val="1"/>
      <w:marLeft w:val="0"/>
      <w:marRight w:val="0"/>
      <w:marTop w:val="0"/>
      <w:marBottom w:val="0"/>
      <w:divBdr>
        <w:top w:val="none" w:sz="0" w:space="0" w:color="auto"/>
        <w:left w:val="none" w:sz="0" w:space="0" w:color="auto"/>
        <w:bottom w:val="none" w:sz="0" w:space="0" w:color="auto"/>
        <w:right w:val="none" w:sz="0" w:space="0" w:color="auto"/>
      </w:divBdr>
    </w:div>
    <w:div w:id="1540555078">
      <w:bodyDiv w:val="1"/>
      <w:marLeft w:val="0"/>
      <w:marRight w:val="0"/>
      <w:marTop w:val="0"/>
      <w:marBottom w:val="0"/>
      <w:divBdr>
        <w:top w:val="none" w:sz="0" w:space="0" w:color="auto"/>
        <w:left w:val="none" w:sz="0" w:space="0" w:color="auto"/>
        <w:bottom w:val="none" w:sz="0" w:space="0" w:color="auto"/>
        <w:right w:val="none" w:sz="0" w:space="0" w:color="auto"/>
      </w:divBdr>
    </w:div>
    <w:div w:id="1579829777">
      <w:bodyDiv w:val="1"/>
      <w:marLeft w:val="0"/>
      <w:marRight w:val="0"/>
      <w:marTop w:val="0"/>
      <w:marBottom w:val="0"/>
      <w:divBdr>
        <w:top w:val="none" w:sz="0" w:space="0" w:color="auto"/>
        <w:left w:val="none" w:sz="0" w:space="0" w:color="auto"/>
        <w:bottom w:val="none" w:sz="0" w:space="0" w:color="auto"/>
        <w:right w:val="none" w:sz="0" w:space="0" w:color="auto"/>
      </w:divBdr>
    </w:div>
    <w:div w:id="1592397907">
      <w:bodyDiv w:val="1"/>
      <w:marLeft w:val="0"/>
      <w:marRight w:val="0"/>
      <w:marTop w:val="0"/>
      <w:marBottom w:val="0"/>
      <w:divBdr>
        <w:top w:val="none" w:sz="0" w:space="0" w:color="auto"/>
        <w:left w:val="none" w:sz="0" w:space="0" w:color="auto"/>
        <w:bottom w:val="none" w:sz="0" w:space="0" w:color="auto"/>
        <w:right w:val="none" w:sz="0" w:space="0" w:color="auto"/>
      </w:divBdr>
    </w:div>
    <w:div w:id="1703046883">
      <w:bodyDiv w:val="1"/>
      <w:marLeft w:val="0"/>
      <w:marRight w:val="0"/>
      <w:marTop w:val="0"/>
      <w:marBottom w:val="0"/>
      <w:divBdr>
        <w:top w:val="none" w:sz="0" w:space="0" w:color="auto"/>
        <w:left w:val="none" w:sz="0" w:space="0" w:color="auto"/>
        <w:bottom w:val="none" w:sz="0" w:space="0" w:color="auto"/>
        <w:right w:val="none" w:sz="0" w:space="0" w:color="auto"/>
      </w:divBdr>
    </w:div>
    <w:div w:id="1749381072">
      <w:bodyDiv w:val="1"/>
      <w:marLeft w:val="0"/>
      <w:marRight w:val="0"/>
      <w:marTop w:val="0"/>
      <w:marBottom w:val="0"/>
      <w:divBdr>
        <w:top w:val="none" w:sz="0" w:space="0" w:color="auto"/>
        <w:left w:val="none" w:sz="0" w:space="0" w:color="auto"/>
        <w:bottom w:val="none" w:sz="0" w:space="0" w:color="auto"/>
        <w:right w:val="none" w:sz="0" w:space="0" w:color="auto"/>
      </w:divBdr>
    </w:div>
    <w:div w:id="1771969362">
      <w:bodyDiv w:val="1"/>
      <w:marLeft w:val="0"/>
      <w:marRight w:val="0"/>
      <w:marTop w:val="0"/>
      <w:marBottom w:val="0"/>
      <w:divBdr>
        <w:top w:val="none" w:sz="0" w:space="0" w:color="auto"/>
        <w:left w:val="none" w:sz="0" w:space="0" w:color="auto"/>
        <w:bottom w:val="none" w:sz="0" w:space="0" w:color="auto"/>
        <w:right w:val="none" w:sz="0" w:space="0" w:color="auto"/>
      </w:divBdr>
    </w:div>
    <w:div w:id="1796288014">
      <w:bodyDiv w:val="1"/>
      <w:marLeft w:val="0"/>
      <w:marRight w:val="0"/>
      <w:marTop w:val="0"/>
      <w:marBottom w:val="0"/>
      <w:divBdr>
        <w:top w:val="none" w:sz="0" w:space="0" w:color="auto"/>
        <w:left w:val="none" w:sz="0" w:space="0" w:color="auto"/>
        <w:bottom w:val="none" w:sz="0" w:space="0" w:color="auto"/>
        <w:right w:val="none" w:sz="0" w:space="0" w:color="auto"/>
      </w:divBdr>
    </w:div>
    <w:div w:id="1821649732">
      <w:bodyDiv w:val="1"/>
      <w:marLeft w:val="0"/>
      <w:marRight w:val="0"/>
      <w:marTop w:val="0"/>
      <w:marBottom w:val="0"/>
      <w:divBdr>
        <w:top w:val="none" w:sz="0" w:space="0" w:color="auto"/>
        <w:left w:val="none" w:sz="0" w:space="0" w:color="auto"/>
        <w:bottom w:val="none" w:sz="0" w:space="0" w:color="auto"/>
        <w:right w:val="none" w:sz="0" w:space="0" w:color="auto"/>
      </w:divBdr>
    </w:div>
    <w:div w:id="2036299321">
      <w:bodyDiv w:val="1"/>
      <w:marLeft w:val="0"/>
      <w:marRight w:val="0"/>
      <w:marTop w:val="0"/>
      <w:marBottom w:val="0"/>
      <w:divBdr>
        <w:top w:val="none" w:sz="0" w:space="0" w:color="auto"/>
        <w:left w:val="none" w:sz="0" w:space="0" w:color="auto"/>
        <w:bottom w:val="none" w:sz="0" w:space="0" w:color="auto"/>
        <w:right w:val="none" w:sz="0" w:space="0" w:color="auto"/>
      </w:divBdr>
    </w:div>
    <w:div w:id="2075273460">
      <w:bodyDiv w:val="1"/>
      <w:marLeft w:val="0"/>
      <w:marRight w:val="0"/>
      <w:marTop w:val="0"/>
      <w:marBottom w:val="0"/>
      <w:divBdr>
        <w:top w:val="none" w:sz="0" w:space="0" w:color="auto"/>
        <w:left w:val="none" w:sz="0" w:space="0" w:color="auto"/>
        <w:bottom w:val="none" w:sz="0" w:space="0" w:color="auto"/>
        <w:right w:val="none" w:sz="0" w:space="0" w:color="auto"/>
      </w:divBdr>
    </w:div>
    <w:div w:id="2085686369">
      <w:bodyDiv w:val="1"/>
      <w:marLeft w:val="0"/>
      <w:marRight w:val="0"/>
      <w:marTop w:val="0"/>
      <w:marBottom w:val="0"/>
      <w:divBdr>
        <w:top w:val="none" w:sz="0" w:space="0" w:color="auto"/>
        <w:left w:val="none" w:sz="0" w:space="0" w:color="auto"/>
        <w:bottom w:val="none" w:sz="0" w:space="0" w:color="auto"/>
        <w:right w:val="none" w:sz="0" w:space="0" w:color="auto"/>
      </w:divBdr>
    </w:div>
    <w:div w:id="2099059575">
      <w:bodyDiv w:val="1"/>
      <w:marLeft w:val="0"/>
      <w:marRight w:val="0"/>
      <w:marTop w:val="0"/>
      <w:marBottom w:val="0"/>
      <w:divBdr>
        <w:top w:val="none" w:sz="0" w:space="0" w:color="auto"/>
        <w:left w:val="none" w:sz="0" w:space="0" w:color="auto"/>
        <w:bottom w:val="none" w:sz="0" w:space="0" w:color="auto"/>
        <w:right w:val="none" w:sz="0" w:space="0" w:color="auto"/>
      </w:divBdr>
    </w:div>
    <w:div w:id="2113551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ntTable" Target="fontTable.xml"/><Relationship Id="rId21" Type="http://schemas.openxmlformats.org/officeDocument/2006/relationships/header" Target="header4.xml"/><Relationship Id="rId42" Type="http://schemas.openxmlformats.org/officeDocument/2006/relationships/image" Target="media/image15.emf"/><Relationship Id="rId47" Type="http://schemas.openxmlformats.org/officeDocument/2006/relationships/package" Target="embeddings/Microsoft_Excel_Worksheet3.xlsx"/><Relationship Id="rId63" Type="http://schemas.openxmlformats.org/officeDocument/2006/relationships/oleObject" Target="embeddings/Microsoft_Excel_97-2003_Worksheet16.xls"/><Relationship Id="rId68" Type="http://schemas.openxmlformats.org/officeDocument/2006/relationships/package" Target="embeddings/Microsoft_Excel_Worksheet6.xlsx"/><Relationship Id="rId84" Type="http://schemas.openxmlformats.org/officeDocument/2006/relationships/oleObject" Target="embeddings/Microsoft_Excel_97-2003_Worksheet19.xls"/><Relationship Id="rId89" Type="http://schemas.openxmlformats.org/officeDocument/2006/relationships/image" Target="media/image39.wmf"/><Relationship Id="rId112" Type="http://schemas.openxmlformats.org/officeDocument/2006/relationships/header" Target="header12.xml"/><Relationship Id="rId16" Type="http://schemas.openxmlformats.org/officeDocument/2006/relationships/header" Target="header2.xml"/><Relationship Id="rId107" Type="http://schemas.openxmlformats.org/officeDocument/2006/relationships/header" Target="header8.xml"/><Relationship Id="rId11"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oleObject" Target="embeddings/Microsoft_Excel_97-2003_Worksheet8.xls"/><Relationship Id="rId53" Type="http://schemas.openxmlformats.org/officeDocument/2006/relationships/oleObject" Target="embeddings/Microsoft_Excel_97-2003_Worksheet13.xls"/><Relationship Id="rId58" Type="http://schemas.openxmlformats.org/officeDocument/2006/relationships/image" Target="media/image23.emf"/><Relationship Id="rId74" Type="http://schemas.openxmlformats.org/officeDocument/2006/relationships/package" Target="embeddings/Microsoft_Excel_Worksheet8.xlsx"/><Relationship Id="rId79" Type="http://schemas.openxmlformats.org/officeDocument/2006/relationships/image" Target="media/image34.emf"/><Relationship Id="rId102"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oleObject" Target="embeddings/Microsoft_Excel_97-2003_Worksheet22.xls"/><Relationship Id="rId95" Type="http://schemas.openxmlformats.org/officeDocument/2006/relationships/image" Target="media/image42.emf"/><Relationship Id="rId22" Type="http://schemas.openxmlformats.org/officeDocument/2006/relationships/header" Target="header5.xml"/><Relationship Id="rId27" Type="http://schemas.openxmlformats.org/officeDocument/2006/relationships/image" Target="media/image7.jpeg"/><Relationship Id="rId43" Type="http://schemas.openxmlformats.org/officeDocument/2006/relationships/package" Target="embeddings/Microsoft_Excel_Worksheet2.xls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image" Target="media/image29.emf"/><Relationship Id="rId113" Type="http://schemas.openxmlformats.org/officeDocument/2006/relationships/header" Target="header13.xml"/><Relationship Id="rId118" Type="http://schemas.openxmlformats.org/officeDocument/2006/relationships/theme" Target="theme/theme1.xml"/><Relationship Id="rId80" Type="http://schemas.openxmlformats.org/officeDocument/2006/relationships/package" Target="embeddings/Microsoft_Excel_Worksheet11.xlsx"/><Relationship Id="rId85" Type="http://schemas.openxmlformats.org/officeDocument/2006/relationships/image" Target="media/image37.emf"/><Relationship Id="rId12" Type="http://schemas.openxmlformats.org/officeDocument/2006/relationships/oleObject" Target="embeddings/Microsoft_Excel_97-2003_Worksheet1.xls"/><Relationship Id="rId17" Type="http://schemas.openxmlformats.org/officeDocument/2006/relationships/footer" Target="footer2.xml"/><Relationship Id="rId33" Type="http://schemas.openxmlformats.org/officeDocument/2006/relationships/oleObject" Target="embeddings/Microsoft_Excel_97-2003_Worksheet6.xls"/><Relationship Id="rId38" Type="http://schemas.openxmlformats.org/officeDocument/2006/relationships/image" Target="media/image13.emf"/><Relationship Id="rId59" Type="http://schemas.openxmlformats.org/officeDocument/2006/relationships/package" Target="embeddings/Microsoft_Excel_Worksheet5.xlsx"/><Relationship Id="rId103" Type="http://schemas.openxmlformats.org/officeDocument/2006/relationships/image" Target="media/image47.emf"/><Relationship Id="rId108" Type="http://schemas.openxmlformats.org/officeDocument/2006/relationships/header" Target="header9.xml"/><Relationship Id="rId54" Type="http://schemas.openxmlformats.org/officeDocument/2006/relationships/image" Target="media/image21.emf"/><Relationship Id="rId70" Type="http://schemas.openxmlformats.org/officeDocument/2006/relationships/package" Target="embeddings/Microsoft_Excel_Worksheet7.xls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Microsoft_Excel_97-2003_Worksheet24.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image" Target="media/image8.emf"/><Relationship Id="rId49" Type="http://schemas.openxmlformats.org/officeDocument/2006/relationships/oleObject" Target="embeddings/Microsoft_Excel_97-2003_Worksheet11.xls"/><Relationship Id="rId114" Type="http://schemas.openxmlformats.org/officeDocument/2006/relationships/header" Target="header14.xml"/><Relationship Id="rId10" Type="http://schemas.openxmlformats.org/officeDocument/2006/relationships/oleObject" Target="embeddings/Microsoft_Excel_97-2003_Worksheet.xls"/><Relationship Id="rId31" Type="http://schemas.openxmlformats.org/officeDocument/2006/relationships/oleObject" Target="embeddings/Microsoft_Excel_97-2003_Worksheet5.xls"/><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Microsoft_Excel_97-2003_Worksheet17.xls"/><Relationship Id="rId73" Type="http://schemas.openxmlformats.org/officeDocument/2006/relationships/image" Target="media/image31.emf"/><Relationship Id="rId78" Type="http://schemas.openxmlformats.org/officeDocument/2006/relationships/package" Target="embeddings/Microsoft_Excel_Worksheet10.xlsx"/><Relationship Id="rId81" Type="http://schemas.openxmlformats.org/officeDocument/2006/relationships/image" Target="media/image35.emf"/><Relationship Id="rId86" Type="http://schemas.openxmlformats.org/officeDocument/2006/relationships/oleObject" Target="embeddings/Microsoft_Excel_97-2003_Worksheet20.xls"/><Relationship Id="rId94" Type="http://schemas.openxmlformats.org/officeDocument/2006/relationships/package" Target="embeddings/Microsoft_Excel_Worksheet13.xlsx"/><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eader" Target="header3.xml"/><Relationship Id="rId39" Type="http://schemas.openxmlformats.org/officeDocument/2006/relationships/oleObject" Target="embeddings/Microsoft_Excel_97-2003_Worksheet9.xls"/><Relationship Id="rId109" Type="http://schemas.openxmlformats.org/officeDocument/2006/relationships/header" Target="header10.xml"/><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Microsoft_Excel_97-2003_Worksheet14.xls"/><Relationship Id="rId76" Type="http://schemas.openxmlformats.org/officeDocument/2006/relationships/package" Target="embeddings/Microsoft_Excel_Worksheet9.xlsx"/><Relationship Id="rId97" Type="http://schemas.openxmlformats.org/officeDocument/2006/relationships/image" Target="media/image43.emf"/><Relationship Id="rId104"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Microsoft_Excel_97-2003_Worksheet23.xls"/><Relationship Id="rId2" Type="http://schemas.openxmlformats.org/officeDocument/2006/relationships/numbering" Target="numbering.xml"/><Relationship Id="rId29" Type="http://schemas.openxmlformats.org/officeDocument/2006/relationships/oleObject" Target="embeddings/Microsoft_Excel_97-2003_Worksheet4.xls"/><Relationship Id="rId24" Type="http://schemas.openxmlformats.org/officeDocument/2006/relationships/image" Target="media/image5.emf"/><Relationship Id="rId40" Type="http://schemas.openxmlformats.org/officeDocument/2006/relationships/image" Target="media/image14.emf"/><Relationship Id="rId45" Type="http://schemas.openxmlformats.org/officeDocument/2006/relationships/oleObject" Target="embeddings/Microsoft_Excel_97-2003_Worksheet10.xls"/><Relationship Id="rId66" Type="http://schemas.openxmlformats.org/officeDocument/2006/relationships/image" Target="media/image27.emf"/><Relationship Id="rId87" Type="http://schemas.openxmlformats.org/officeDocument/2006/relationships/image" Target="media/image38.wmf"/><Relationship Id="rId110" Type="http://schemas.openxmlformats.org/officeDocument/2006/relationships/header" Target="header11.xml"/><Relationship Id="rId115" Type="http://schemas.openxmlformats.org/officeDocument/2006/relationships/footer" Target="footer4.xml"/><Relationship Id="rId61" Type="http://schemas.openxmlformats.org/officeDocument/2006/relationships/oleObject" Target="embeddings/Microsoft_Excel_97-2003_Worksheet15.xls"/><Relationship Id="rId82" Type="http://schemas.openxmlformats.org/officeDocument/2006/relationships/package" Target="embeddings/Microsoft_Excel_Worksheet12.xlsx"/><Relationship Id="rId19" Type="http://schemas.openxmlformats.org/officeDocument/2006/relationships/image" Target="media/image4.emf"/><Relationship Id="rId14" Type="http://schemas.openxmlformats.org/officeDocument/2006/relationships/oleObject" Target="embeddings/Microsoft_Excel_97-2003_Worksheet2.xls"/><Relationship Id="rId30" Type="http://schemas.openxmlformats.org/officeDocument/2006/relationships/image" Target="media/image9.emf"/><Relationship Id="rId35" Type="http://schemas.openxmlformats.org/officeDocument/2006/relationships/oleObject" Target="embeddings/Microsoft_Excel_97-2003_Worksheet7.xls"/><Relationship Id="rId56" Type="http://schemas.openxmlformats.org/officeDocument/2006/relationships/image" Target="media/image22.emf"/><Relationship Id="rId77" Type="http://schemas.openxmlformats.org/officeDocument/2006/relationships/image" Target="media/image33.emf"/><Relationship Id="rId100" Type="http://schemas.openxmlformats.org/officeDocument/2006/relationships/oleObject" Target="embeddings/Microsoft_Excel_97-2003_Worksheet26.xls"/><Relationship Id="rId105" Type="http://schemas.openxmlformats.org/officeDocument/2006/relationships/package" Target="embeddings/Microsoft_Excel_Worksheet14.xlsx"/><Relationship Id="rId8" Type="http://schemas.openxmlformats.org/officeDocument/2006/relationships/footer" Target="footer1.xml"/><Relationship Id="rId51" Type="http://schemas.openxmlformats.org/officeDocument/2006/relationships/oleObject" Target="embeddings/Microsoft_Excel_97-2003_Worksheet12.xls"/><Relationship Id="rId72" Type="http://schemas.openxmlformats.org/officeDocument/2006/relationships/oleObject" Target="embeddings/Microsoft_Excel_97-2003_Worksheet18.xls"/><Relationship Id="rId93" Type="http://schemas.openxmlformats.org/officeDocument/2006/relationships/image" Target="media/image41.emf"/><Relationship Id="rId98" Type="http://schemas.openxmlformats.org/officeDocument/2006/relationships/oleObject" Target="embeddings/Microsoft_Excel_97-2003_Worksheet25.xls"/><Relationship Id="rId3" Type="http://schemas.openxmlformats.org/officeDocument/2006/relationships/styles" Target="styles.xml"/><Relationship Id="rId25" Type="http://schemas.openxmlformats.org/officeDocument/2006/relationships/oleObject" Target="embeddings/Microsoft_Excel_97-2003_Worksheet3.xls"/><Relationship Id="rId46" Type="http://schemas.openxmlformats.org/officeDocument/2006/relationships/image" Target="media/image17.emf"/><Relationship Id="rId67" Type="http://schemas.openxmlformats.org/officeDocument/2006/relationships/image" Target="media/image28.emf"/><Relationship Id="rId116" Type="http://schemas.openxmlformats.org/officeDocument/2006/relationships/header" Target="header15.xml"/><Relationship Id="rId20" Type="http://schemas.openxmlformats.org/officeDocument/2006/relationships/package" Target="embeddings/Microsoft_Excel_Worksheet.xlsx"/><Relationship Id="rId41" Type="http://schemas.openxmlformats.org/officeDocument/2006/relationships/package" Target="embeddings/Microsoft_Excel_Worksheet1.xlsx"/><Relationship Id="rId62" Type="http://schemas.openxmlformats.org/officeDocument/2006/relationships/image" Target="media/image25.emf"/><Relationship Id="rId83" Type="http://schemas.openxmlformats.org/officeDocument/2006/relationships/image" Target="media/image36.emf"/><Relationship Id="rId88" Type="http://schemas.openxmlformats.org/officeDocument/2006/relationships/oleObject" Target="embeddings/Microsoft_Excel_97-2003_Worksheet21.xls"/><Relationship Id="rId111" Type="http://schemas.openxmlformats.org/officeDocument/2006/relationships/footer" Target="footer3.xml"/><Relationship Id="rId15" Type="http://schemas.openxmlformats.org/officeDocument/2006/relationships/header" Target="header1.xml"/><Relationship Id="rId36" Type="http://schemas.openxmlformats.org/officeDocument/2006/relationships/image" Target="media/image12.emf"/><Relationship Id="rId57" Type="http://schemas.openxmlformats.org/officeDocument/2006/relationships/package" Target="embeddings/Microsoft_Excel_Worksheet4.xlsx"/><Relationship Id="rId106" Type="http://schemas.openxmlformats.org/officeDocument/2006/relationships/header" Target="header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0F29E-7F60-43E4-B75C-40C855D8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69</Pages>
  <Words>23690</Words>
  <Characters>130300</Characters>
  <Application>Microsoft Office Word</Application>
  <DocSecurity>0</DocSecurity>
  <Lines>1085</Lines>
  <Paragraphs>307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de la</vt:lpstr>
      <vt:lpstr>Notas de la</vt:lpstr>
    </vt:vector>
  </TitlesOfParts>
  <Company>Ernst &amp; Young</Company>
  <LinksUpToDate>false</LinksUpToDate>
  <CharactersWithSpaces>153683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de la</dc:title>
  <dc:subject/>
  <dc:creator>Jose Maria Jimenez Mangado</dc:creator>
  <cp:keywords/>
  <dc:description/>
  <cp:lastModifiedBy>María Teresa Brito Rodríguez</cp:lastModifiedBy>
  <cp:revision>2</cp:revision>
  <cp:lastPrinted>2025-03-11T10:58:00Z</cp:lastPrinted>
  <dcterms:created xsi:type="dcterms:W3CDTF">2025-03-12T13:55:00Z</dcterms:created>
  <dcterms:modified xsi:type="dcterms:W3CDTF">2025-04-02T07:20:00Z</dcterms:modified>
</cp:coreProperties>
</file>