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8CF5" w14:textId="11258213" w:rsidR="00C020F8" w:rsidRPr="00C020F8" w:rsidRDefault="00DD73A9">
      <w:pPr>
        <w:rPr>
          <w:sz w:val="28"/>
          <w:szCs w:val="28"/>
        </w:rPr>
      </w:pPr>
      <w:hyperlink r:id="rId4" w:history="1">
        <w:r w:rsidR="00C020F8" w:rsidRPr="00DD73A9">
          <w:rPr>
            <w:rStyle w:val="Hipervnculo"/>
            <w:sz w:val="28"/>
            <w:szCs w:val="28"/>
          </w:rPr>
          <w:t>Órgano competente en materia de derecho de acceso.</w:t>
        </w:r>
      </w:hyperlink>
    </w:p>
    <w:p w14:paraId="48205FE1" w14:textId="77777777" w:rsidR="00C020F8" w:rsidRPr="00C020F8" w:rsidRDefault="00C020F8" w:rsidP="00C020F8">
      <w:pPr>
        <w:rPr>
          <w:b/>
          <w:bCs/>
        </w:rPr>
      </w:pPr>
      <w:r w:rsidRPr="00C020F8">
        <w:rPr>
          <w:b/>
          <w:bCs/>
        </w:rPr>
        <w:t>Unidad Responsable de la Información Pública</w:t>
      </w:r>
    </w:p>
    <w:p w14:paraId="1D0B2284" w14:textId="77777777" w:rsidR="00C020F8" w:rsidRDefault="00C020F8" w:rsidP="00C020F8">
      <w:pPr>
        <w:rPr>
          <w:b/>
          <w:bCs/>
        </w:rPr>
      </w:pPr>
      <w:r w:rsidRPr="00C020F8">
        <w:rPr>
          <w:b/>
          <w:bCs/>
        </w:rPr>
        <w:t>Composición:</w:t>
      </w:r>
    </w:p>
    <w:p w14:paraId="4F37EB62" w14:textId="77777777" w:rsidR="00C020F8" w:rsidRPr="00C020F8" w:rsidRDefault="00C020F8" w:rsidP="00C020F8">
      <w:r w:rsidRPr="00C020F8">
        <w:t>Mediante Resolución de la Secretaría General Técnica de 9 de febrero de 2017 se designó al servicio competente en materia de modernización como Unidad Responsable de la Información Pública (URIP), actualmente es el Servicio de Modernización y Asuntos Generales de la Secretaría General Técnica.</w:t>
      </w:r>
    </w:p>
    <w:p w14:paraId="2F4DE8BE" w14:textId="77777777" w:rsidR="00C020F8" w:rsidRDefault="00C020F8" w:rsidP="00C020F8">
      <w:pPr>
        <w:rPr>
          <w:b/>
          <w:bCs/>
        </w:rPr>
      </w:pPr>
      <w:r w:rsidRPr="00C020F8">
        <w:rPr>
          <w:b/>
          <w:bCs/>
        </w:rPr>
        <w:t>Funciones:</w:t>
      </w:r>
    </w:p>
    <w:p w14:paraId="5AE68834" w14:textId="77777777" w:rsidR="00C020F8" w:rsidRPr="00C020F8" w:rsidRDefault="00C020F8" w:rsidP="00C020F8">
      <w:r w:rsidRPr="00C020F8">
        <w:t>Las funciones de la URIP de esta Consejería son, además de las previstas en el </w:t>
      </w:r>
      <w:hyperlink r:id="rId5" w:anchor="page=10" w:tgtFrame="_blank" w:history="1">
        <w:r w:rsidRPr="00C020F8">
          <w:rPr>
            <w:rStyle w:val="Hipervnculo"/>
          </w:rPr>
          <w:t>artícul</w:t>
        </w:r>
        <w:r w:rsidRPr="00C020F8">
          <w:rPr>
            <w:rStyle w:val="Hipervnculo"/>
          </w:rPr>
          <w:t>o</w:t>
        </w:r>
        <w:r w:rsidRPr="00C020F8">
          <w:rPr>
            <w:rStyle w:val="Hipervnculo"/>
          </w:rPr>
          <w:t xml:space="preserve"> 10.3 de La Ley 12/2014 de 26 de noviembre, de transparencia y de acceso a la información pública</w:t>
        </w:r>
      </w:hyperlink>
      <w:r w:rsidRPr="00C020F8">
        <w:t>, las recogidas en la línea de actuación de “Información Pública” del "Eje Gobierno Abierto" del </w:t>
      </w:r>
      <w:hyperlink r:id="rId6" w:tgtFrame="_blank" w:tooltip="Plan Estratégico de Innovación y Mejora Continua de la Consejería de Agricultura, Ganadería y Pesca 2019-2022" w:history="1">
        <w:r w:rsidRPr="00C020F8">
          <w:rPr>
            <w:rStyle w:val="Hipervnculo"/>
          </w:rPr>
          <w:t>Plan Estratégico de Innovación y Mejora Continua d</w:t>
        </w:r>
        <w:r w:rsidRPr="00C020F8">
          <w:rPr>
            <w:rStyle w:val="Hipervnculo"/>
          </w:rPr>
          <w:t>e</w:t>
        </w:r>
        <w:r w:rsidRPr="00C020F8">
          <w:rPr>
            <w:rStyle w:val="Hipervnculo"/>
          </w:rPr>
          <w:t xml:space="preserve"> la Consejería de Agricultura, Ganadería y Pesca 2019-2022</w:t>
        </w:r>
      </w:hyperlink>
      <w:r w:rsidRPr="00C020F8">
        <w:t>.</w:t>
      </w:r>
    </w:p>
    <w:p w14:paraId="59042228" w14:textId="77777777" w:rsidR="00C020F8" w:rsidRPr="00C020F8" w:rsidRDefault="00C020F8" w:rsidP="00C020F8">
      <w:r w:rsidRPr="00C020F8">
        <w:rPr>
          <w:b/>
          <w:bCs/>
        </w:rPr>
        <w:t>Contacto:</w:t>
      </w:r>
    </w:p>
    <w:p w14:paraId="0E9F4E9F" w14:textId="77777777" w:rsidR="00C020F8" w:rsidRDefault="00C020F8" w:rsidP="00C020F8">
      <w:r w:rsidRPr="00C020F8">
        <w:t>Dentro de las funciones, se prevé la asistencia y orientación a las personas que lo soliciten en la búsqueda de la información. Puede contactar con nosotros a través de la siguiente dirección de correo electrónico </w:t>
      </w:r>
      <w:hyperlink r:id="rId7" w:history="1">
        <w:r w:rsidRPr="00C020F8">
          <w:rPr>
            <w:rStyle w:val="Hipervnculo"/>
          </w:rPr>
          <w:t>accesoinfo.agric</w:t>
        </w:r>
        <w:r w:rsidRPr="00C020F8">
          <w:rPr>
            <w:rStyle w:val="Hipervnculo"/>
          </w:rPr>
          <w:t>u</w:t>
        </w:r>
        <w:r w:rsidRPr="00C020F8">
          <w:rPr>
            <w:rStyle w:val="Hipervnculo"/>
          </w:rPr>
          <w:t>ltura@gobiernodecanarias.org</w:t>
        </w:r>
      </w:hyperlink>
    </w:p>
    <w:p w14:paraId="67AADE3B" w14:textId="77777777" w:rsidR="00DD73A9" w:rsidRDefault="00DD73A9" w:rsidP="00C020F8"/>
    <w:p w14:paraId="5A664668" w14:textId="77777777" w:rsidR="00DD73A9" w:rsidRDefault="00DD73A9" w:rsidP="00C020F8"/>
    <w:p w14:paraId="64E217EE" w14:textId="77777777" w:rsidR="00DD73A9" w:rsidRDefault="00DD73A9" w:rsidP="00C020F8"/>
    <w:p w14:paraId="7A844AFC" w14:textId="77777777" w:rsidR="00DD73A9" w:rsidRDefault="00DD73A9" w:rsidP="00C020F8"/>
    <w:p w14:paraId="16185F01" w14:textId="41AB2E29" w:rsidR="00DD73A9" w:rsidRPr="00C020F8" w:rsidRDefault="00DD73A9" w:rsidP="00C020F8">
      <w:r>
        <w:t>Actualizado a 13 enero 2025</w:t>
      </w:r>
    </w:p>
    <w:p w14:paraId="1097E76E" w14:textId="77777777" w:rsidR="00C020F8" w:rsidRDefault="00C020F8"/>
    <w:sectPr w:rsidR="00C020F8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0F8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5DF6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20F8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3A9"/>
    <w:rsid w:val="00DD7C3A"/>
    <w:rsid w:val="00DF7CA3"/>
    <w:rsid w:val="00E15A91"/>
    <w:rsid w:val="00E35C6C"/>
    <w:rsid w:val="00E443A8"/>
    <w:rsid w:val="00E45B1B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D15E"/>
  <w15:docId w15:val="{40A1C6BC-D6ED-4BFB-9FA0-E4A0B05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0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20F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esoinfo.agricultura@gobiernodecanari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iernodecanarias.org/cmsgobcan/export/sites/agp/sgt/galerias/doc/modernizacion/Plan_2019_2022/Plan_Estrategico_de_Innovacion_2019_2022.pdf" TargetMode="External"/><Relationship Id="rId5" Type="http://schemas.openxmlformats.org/officeDocument/2006/relationships/hyperlink" Target="http://www.gobiernodecanarias.org/libroazul/pdf/71248.pdf" TargetMode="External"/><Relationship Id="rId4" Type="http://schemas.openxmlformats.org/officeDocument/2006/relationships/hyperlink" Target="https://www.gobiernodecanarias.org/transparencia/temas/derecho-de-acceso/entidades-y-organos-competentes-en-materia-de-informacion-publi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Rosario Rodríguez González</cp:lastModifiedBy>
  <cp:revision>2</cp:revision>
  <dcterms:created xsi:type="dcterms:W3CDTF">2022-10-06T10:29:00Z</dcterms:created>
  <dcterms:modified xsi:type="dcterms:W3CDTF">2025-04-01T07:10:00Z</dcterms:modified>
</cp:coreProperties>
</file>