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54D" w14:textId="77777777" w:rsidR="006637D4" w:rsidRDefault="006637D4">
      <w:pPr>
        <w:jc w:val="center"/>
        <w:rPr>
          <w:b/>
        </w:rPr>
      </w:pPr>
    </w:p>
    <w:p w14:paraId="73136760" w14:textId="20E0C674" w:rsidR="00B56384" w:rsidRPr="00B56384" w:rsidRDefault="00B56384" w:rsidP="00B5638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ORGANIZATIVA</w:t>
      </w:r>
      <w:r w:rsidR="0053168C" w:rsidRPr="00813F60">
        <w:rPr>
          <w:b/>
          <w:bCs/>
          <w:sz w:val="28"/>
          <w:szCs w:val="28"/>
        </w:rPr>
        <w:t>: 1</w:t>
      </w:r>
      <w:r w:rsidR="00BD1DE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29</w:t>
      </w:r>
      <w:r w:rsidR="00BD1DE3">
        <w:rPr>
          <w:b/>
          <w:bCs/>
          <w:sz w:val="28"/>
          <w:szCs w:val="28"/>
        </w:rPr>
        <w:t xml:space="preserve"> </w:t>
      </w:r>
      <w:r w:rsidRPr="00B56384">
        <w:rPr>
          <w:b/>
          <w:bCs/>
          <w:sz w:val="28"/>
          <w:szCs w:val="28"/>
        </w:rPr>
        <w:t>Capital social, dotación fundacional o participación y recursos que financian sus actividades correspondientes al segundo semestre de 2023 y año 2024</w:t>
      </w:r>
    </w:p>
    <w:p w14:paraId="4A71C5B9" w14:textId="77777777" w:rsidR="00B56384" w:rsidRPr="00B56384" w:rsidRDefault="00B56384" w:rsidP="00B56384">
      <w:pPr>
        <w:rPr>
          <w:sz w:val="28"/>
          <w:szCs w:val="28"/>
        </w:rPr>
      </w:pPr>
      <w:r w:rsidRPr="00B56384">
        <w:rPr>
          <w:sz w:val="28"/>
          <w:szCs w:val="28"/>
        </w:rPr>
        <w:t xml:space="preserve">Gestión del Medio Rural de Canarias, S.A.U. ostenta la consideración de medio propio personificado respecto de la Administración Pública de la Comunidad Autónoma de Canarias, sus organismos autónomos y demás entidades de derecho público vinculadas y dependientes de la misma. Siendo la Comunidad Autónoma de Canarias titular del 100% de su </w:t>
      </w:r>
      <w:proofErr w:type="gramStart"/>
      <w:r w:rsidRPr="00B56384">
        <w:rPr>
          <w:sz w:val="28"/>
          <w:szCs w:val="28"/>
        </w:rPr>
        <w:t>capital  social</w:t>
      </w:r>
      <w:proofErr w:type="gramEnd"/>
      <w:r w:rsidRPr="00B56384">
        <w:rPr>
          <w:sz w:val="28"/>
          <w:szCs w:val="28"/>
        </w:rPr>
        <w:t xml:space="preserve"> y a la que se encuentra vinculada y adscrita en cuanto entidad integrada en el sector público institucional autonómico.</w:t>
      </w:r>
    </w:p>
    <w:p w14:paraId="09BB2566" w14:textId="77777777" w:rsidR="00B56384" w:rsidRPr="00B56384" w:rsidRDefault="00B56384" w:rsidP="00B56384">
      <w:pPr>
        <w:rPr>
          <w:sz w:val="28"/>
          <w:szCs w:val="28"/>
        </w:rPr>
      </w:pPr>
      <w:r w:rsidRPr="00B56384">
        <w:rPr>
          <w:sz w:val="28"/>
          <w:szCs w:val="28"/>
        </w:rPr>
        <w:t>En el artículo 5º de los Estatutos Sociales de GMR Canarias, S.A.U. viene recogido el Capital social de la entidad.</w:t>
      </w:r>
    </w:p>
    <w:p w14:paraId="6B966FB3" w14:textId="77777777" w:rsidR="00B56384" w:rsidRPr="00B56384" w:rsidRDefault="00B56384" w:rsidP="00B56384">
      <w:pPr>
        <w:rPr>
          <w:sz w:val="28"/>
          <w:szCs w:val="28"/>
        </w:rPr>
      </w:pPr>
      <w:r w:rsidRPr="00B56384">
        <w:rPr>
          <w:b/>
          <w:bCs/>
          <w:sz w:val="28"/>
          <w:szCs w:val="28"/>
        </w:rPr>
        <w:t>ARTÍCULO 5º.- CAPITAL.</w:t>
      </w:r>
      <w:r w:rsidRPr="00B56384">
        <w:rPr>
          <w:sz w:val="28"/>
          <w:szCs w:val="28"/>
        </w:rPr>
        <w:t xml:space="preserve"> - El capital social es de TRES MILLONES CIENTO CUARENTA Y TRES MIL OCHOCIENTOS OCHENTA Y TRES EUROS CON TREINTA Y UN CÉNTIMOS (3.143.883,31€) dividido en CINCO MIL DOSCIENTAS TREINTA Y UNA (5.231) acciones indivisibles de SEISCIENTOS UN EUROS CON UN CÉNTIMO (601,01€) de valor nominal cada una, numeradas correlativamente del UNO (1) al CINCO MIL DOSCIENTAS TREINTA Y UNA (5.231), ambas inclusive, representadas por medio de títulos y totalmente suscritas y desembolsadas. Todas las acciones en que se divide el capital social son nominativas y de la misma clase, estando prevista la emisión de títulos múltiples”.</w:t>
      </w:r>
    </w:p>
    <w:p w14:paraId="1E1D7143" w14:textId="0F015475" w:rsidR="00B56384" w:rsidRDefault="002961A5" w:rsidP="002961A5">
      <w:pPr>
        <w:jc w:val="both"/>
        <w:rPr>
          <w:sz w:val="28"/>
          <w:szCs w:val="28"/>
        </w:rPr>
      </w:pPr>
      <w:r w:rsidRPr="002961A5">
        <w:rPr>
          <w:b/>
          <w:bCs/>
          <w:sz w:val="28"/>
          <w:szCs w:val="28"/>
        </w:rPr>
        <w:t>Recursos que financian la actividad de GMR Canarias, S.A.U. año</w:t>
      </w:r>
      <w:r>
        <w:rPr>
          <w:b/>
          <w:bCs/>
          <w:sz w:val="28"/>
          <w:szCs w:val="28"/>
        </w:rPr>
        <w:t xml:space="preserve"> </w:t>
      </w:r>
      <w:r w:rsidRPr="002961A5">
        <w:rPr>
          <w:b/>
          <w:bCs/>
          <w:sz w:val="28"/>
          <w:szCs w:val="28"/>
        </w:rPr>
        <w:t>2025 </w:t>
      </w:r>
      <w:hyperlink r:id="rId6" w:history="1">
        <w:r w:rsidRPr="002961A5">
          <w:rPr>
            <w:rStyle w:val="Hipervnculo"/>
            <w:b/>
            <w:bCs/>
            <w:sz w:val="28"/>
            <w:szCs w:val="28"/>
          </w:rPr>
          <w:t>(</w:t>
        </w:r>
        <w:proofErr w:type="spellStart"/>
        <w:r w:rsidRPr="002961A5">
          <w:rPr>
            <w:rStyle w:val="Hipervnculo"/>
            <w:b/>
            <w:bCs/>
            <w:sz w:val="28"/>
            <w:szCs w:val="28"/>
          </w:rPr>
          <w:t>ods</w:t>
        </w:r>
        <w:proofErr w:type="spellEnd"/>
        <w:r w:rsidRPr="002961A5">
          <w:rPr>
            <w:rStyle w:val="Hipervnculo"/>
            <w:b/>
            <w:bCs/>
            <w:sz w:val="28"/>
            <w:szCs w:val="28"/>
          </w:rPr>
          <w:t>)</w:t>
        </w:r>
      </w:hyperlink>
      <w:r w:rsidRPr="002961A5">
        <w:rPr>
          <w:b/>
          <w:bCs/>
          <w:sz w:val="28"/>
          <w:szCs w:val="28"/>
        </w:rPr>
        <w:t> </w:t>
      </w:r>
      <w:hyperlink r:id="rId7" w:history="1">
        <w:r w:rsidRPr="002961A5">
          <w:rPr>
            <w:rStyle w:val="Hipervnculo"/>
            <w:b/>
            <w:bCs/>
            <w:sz w:val="28"/>
            <w:szCs w:val="28"/>
          </w:rPr>
          <w:t>(xlsx)</w:t>
        </w:r>
      </w:hyperlink>
      <w:r w:rsidRPr="002961A5">
        <w:rPr>
          <w:b/>
          <w:bCs/>
          <w:sz w:val="28"/>
          <w:szCs w:val="28"/>
        </w:rPr>
        <w:t> </w:t>
      </w:r>
      <w:hyperlink r:id="rId8" w:history="1">
        <w:r w:rsidRPr="002961A5">
          <w:rPr>
            <w:rStyle w:val="Hipervnculo"/>
            <w:b/>
            <w:bCs/>
            <w:sz w:val="28"/>
            <w:szCs w:val="28"/>
          </w:rPr>
          <w:t>(</w:t>
        </w:r>
        <w:proofErr w:type="spellStart"/>
        <w:r w:rsidRPr="002961A5">
          <w:rPr>
            <w:rStyle w:val="Hipervnculo"/>
            <w:b/>
            <w:bCs/>
            <w:sz w:val="28"/>
            <w:szCs w:val="28"/>
          </w:rPr>
          <w:t>p</w:t>
        </w:r>
        <w:r w:rsidRPr="002961A5">
          <w:rPr>
            <w:rStyle w:val="Hipervnculo"/>
            <w:b/>
            <w:bCs/>
            <w:sz w:val="28"/>
            <w:szCs w:val="28"/>
          </w:rPr>
          <w:t>df</w:t>
        </w:r>
        <w:proofErr w:type="spellEnd"/>
        <w:r w:rsidRPr="002961A5">
          <w:rPr>
            <w:rStyle w:val="Hipervnculo"/>
            <w:b/>
            <w:bCs/>
            <w:sz w:val="28"/>
            <w:szCs w:val="28"/>
          </w:rPr>
          <w:t>)</w:t>
        </w:r>
      </w:hyperlink>
    </w:p>
    <w:p w14:paraId="467403B2" w14:textId="1A9F890A" w:rsidR="00813F60" w:rsidRPr="00813F60" w:rsidRDefault="00BC610E">
      <w:pPr>
        <w:rPr>
          <w:sz w:val="28"/>
          <w:szCs w:val="28"/>
        </w:rPr>
      </w:pPr>
      <w:r>
        <w:rPr>
          <w:sz w:val="28"/>
          <w:szCs w:val="28"/>
        </w:rPr>
        <w:t>Información</w:t>
      </w:r>
      <w:r w:rsidR="00644C2C">
        <w:rPr>
          <w:sz w:val="28"/>
          <w:szCs w:val="28"/>
        </w:rPr>
        <w:t xml:space="preserve"> año 202</w:t>
      </w:r>
      <w:r w:rsidR="002961A5">
        <w:rPr>
          <w:sz w:val="28"/>
          <w:szCs w:val="28"/>
        </w:rPr>
        <w:t>5</w:t>
      </w:r>
      <w:r w:rsidR="00C9087A">
        <w:rPr>
          <w:sz w:val="28"/>
          <w:szCs w:val="28"/>
        </w:rPr>
        <w:t>.</w:t>
      </w:r>
    </w:p>
    <w:p w14:paraId="2EEAEB84" w14:textId="5D91C98C" w:rsidR="006637D4" w:rsidRPr="00813F60" w:rsidRDefault="00BE3682">
      <w:pPr>
        <w:rPr>
          <w:sz w:val="28"/>
          <w:szCs w:val="28"/>
        </w:rPr>
      </w:pPr>
      <w:r w:rsidRPr="00813F60">
        <w:rPr>
          <w:sz w:val="28"/>
          <w:szCs w:val="28"/>
        </w:rPr>
        <w:t xml:space="preserve">Actualizado: </w:t>
      </w:r>
      <w:r w:rsidR="002961A5">
        <w:rPr>
          <w:sz w:val="28"/>
          <w:szCs w:val="28"/>
        </w:rPr>
        <w:t>09</w:t>
      </w:r>
      <w:r w:rsidR="00EA4981" w:rsidRPr="00813F60">
        <w:rPr>
          <w:sz w:val="28"/>
          <w:szCs w:val="28"/>
        </w:rPr>
        <w:t xml:space="preserve"> de </w:t>
      </w:r>
      <w:r w:rsidR="002961A5">
        <w:rPr>
          <w:sz w:val="28"/>
          <w:szCs w:val="28"/>
        </w:rPr>
        <w:t>abril</w:t>
      </w:r>
      <w:r w:rsidR="00EA4981" w:rsidRPr="00813F60">
        <w:rPr>
          <w:sz w:val="28"/>
          <w:szCs w:val="28"/>
        </w:rPr>
        <w:t xml:space="preserve"> 202</w:t>
      </w:r>
      <w:r w:rsidR="002961A5">
        <w:rPr>
          <w:sz w:val="28"/>
          <w:szCs w:val="28"/>
        </w:rPr>
        <w:t>6</w:t>
      </w:r>
      <w:r w:rsidR="00C9087A">
        <w:rPr>
          <w:sz w:val="28"/>
          <w:szCs w:val="28"/>
        </w:rPr>
        <w:t>.</w:t>
      </w:r>
    </w:p>
    <w:sectPr w:rsidR="006637D4" w:rsidRPr="00813F60">
      <w:headerReference w:type="default" r:id="rId9"/>
      <w:footerReference w:type="default" r:id="rId10"/>
      <w:pgSz w:w="11906" w:h="16838"/>
      <w:pgMar w:top="1702" w:right="1133" w:bottom="1701" w:left="1134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C04D" w14:textId="77777777" w:rsidR="0067779A" w:rsidRDefault="0067779A">
      <w:pPr>
        <w:spacing w:after="0" w:line="240" w:lineRule="auto"/>
      </w:pPr>
      <w:r>
        <w:separator/>
      </w:r>
    </w:p>
  </w:endnote>
  <w:endnote w:type="continuationSeparator" w:id="0">
    <w:p w14:paraId="3EFF6FD6" w14:textId="77777777" w:rsidR="0067779A" w:rsidRDefault="0067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4"/>
    </w:tblGrid>
    <w:tr w:rsidR="00A6197C" w14:paraId="1165921A" w14:textId="77777777">
      <w:trPr>
        <w:trHeight w:val="826"/>
        <w:jc w:val="center"/>
      </w:trPr>
      <w:tc>
        <w:tcPr>
          <w:tcW w:w="963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3AE0451" w14:textId="77777777" w:rsidR="00BE3682" w:rsidRDefault="00BE3682">
          <w:pPr>
            <w:spacing w:after="0" w:line="240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8F9B27" wp14:editId="413FF698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100327</wp:posOffset>
                    </wp:positionV>
                    <wp:extent cx="6130293" cy="0"/>
                    <wp:effectExtent l="0" t="0" r="0" b="0"/>
                    <wp:wrapNone/>
                    <wp:docPr id="1155403966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30293" cy="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+- 0 0 -180"/>
                                <a:gd name="f8" fmla="+- 0 0 -360"/>
                                <a:gd name="f9" fmla="abs f3"/>
                                <a:gd name="f10" fmla="abs f4"/>
                                <a:gd name="f11" fmla="abs f5"/>
                                <a:gd name="f12" fmla="val f6"/>
                                <a:gd name="f13" fmla="*/ f7 f0 1"/>
                                <a:gd name="f14" fmla="*/ f8 f0 1"/>
                                <a:gd name="f15" fmla="?: f9 f3 1"/>
                                <a:gd name="f16" fmla="?: f10 f4 1"/>
                                <a:gd name="f17" fmla="?: f11 f5 1"/>
                                <a:gd name="f18" fmla="*/ f13 1 f2"/>
                                <a:gd name="f19" fmla="*/ f14 1 f2"/>
                                <a:gd name="f20" fmla="*/ f15 1 21600"/>
                                <a:gd name="f21" fmla="*/ f16 1 21600"/>
                                <a:gd name="f22" fmla="*/ 21600 f15 1"/>
                                <a:gd name="f23" fmla="*/ 21600 f16 1"/>
                                <a:gd name="f24" fmla="+- f18 0 f1"/>
                                <a:gd name="f25" fmla="+- f19 0 f1"/>
                                <a:gd name="f26" fmla="min f21 f20"/>
                                <a:gd name="f27" fmla="*/ f22 1 f17"/>
                                <a:gd name="f28" fmla="*/ f23 1 f17"/>
                                <a:gd name="f29" fmla="val f27"/>
                                <a:gd name="f30" fmla="val f28"/>
                                <a:gd name="f31" fmla="*/ f6 f26 1"/>
                                <a:gd name="f32" fmla="*/ f27 f26 1"/>
                                <a:gd name="f33" fmla="*/ f28 f26 1"/>
                                <a:gd name="f34" fmla="*/ f12 f26 1"/>
                                <a:gd name="f35" fmla="*/ f29 f26 1"/>
                                <a:gd name="f36" fmla="*/ f30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4">
                                  <a:pos x="f34" y="f34"/>
                                </a:cxn>
                                <a:cxn ang="f25">
                                  <a:pos x="f35" y="f36"/>
                                </a:cxn>
                              </a:cxnLst>
                              <a:rect l="f31" t="f31" r="f32" b="f33"/>
                              <a:pathLst>
                                <a:path>
                                  <a:moveTo>
                                    <a:pt x="f34" y="f34"/>
                                  </a:moveTo>
                                  <a:lnTo>
                                    <a:pt x="f35" y="f36"/>
                                  </a:lnTo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A5A5A5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03AA720" id="Conector recto 4" o:spid="_x0000_s1026" style="position:absolute;margin-left:-5.85pt;margin-top:7.9pt;width:482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0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" path="m,l6130293,1e" filled="f" strokecolor="#a5a5a5" strokeweight=".35281mm">
                    <v:path arrowok="t" o:connecttype="custom" o:connectlocs="3065147,0;6130293,1;3065147,1;0,1;0,0;6130293,1" o:connectangles="270,0,90,180,90,270" textboxrect="0,0,6130293,0"/>
                  </v:shape>
                </w:pict>
              </mc:Fallback>
            </mc:AlternateContent>
          </w:r>
          <w:r>
            <w:rPr>
              <w:rFonts w:ascii="Zurich BT" w:eastAsia="Times New Roman" w:hAnsi="Zurich BT" w:cs="Calibri"/>
              <w:color w:val="333333"/>
              <w:spacing w:val="1"/>
              <w:kern w:val="3"/>
              <w:sz w:val="14"/>
              <w:szCs w:val="14"/>
              <w:lang w:eastAsia="es-ES"/>
            </w:rPr>
            <w:br/>
          </w:r>
        </w:p>
        <w:p w14:paraId="45E85B76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b/>
              <w:noProof/>
              <w:color w:val="808080"/>
              <w:sz w:val="12"/>
              <w:szCs w:val="1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DE3ED60" wp14:editId="3C1652A4">
                <wp:simplePos x="0" y="0"/>
                <wp:positionH relativeFrom="column">
                  <wp:posOffset>5073319</wp:posOffset>
                </wp:positionH>
                <wp:positionV relativeFrom="paragraph">
                  <wp:posOffset>63194</wp:posOffset>
                </wp:positionV>
                <wp:extent cx="887726" cy="405518"/>
                <wp:effectExtent l="0" t="0" r="7624" b="0"/>
                <wp:wrapNone/>
                <wp:docPr id="511878720" name="4 Imagen" descr="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26" cy="405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eastAsia="Times New Roman" w:hAnsi="Trebuchet MS" w:cs="Calibri"/>
              <w:b/>
              <w:color w:val="808080"/>
              <w:sz w:val="12"/>
              <w:szCs w:val="12"/>
              <w:lang w:eastAsia="es-ES"/>
            </w:rPr>
            <w:t>GESTIÓN DEL MEDIO RURAL DE CANARIAS, S.A.U. - A38075750</w:t>
          </w:r>
        </w:p>
        <w:p w14:paraId="7E099501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Inscrita en el Registro Mercantil de Santa Cruz de Tenerife, Tomo 430, Libro 238, de la Sección 3ª, Folio 33, Hoja TF-3.027, Inscripción 1ª</w:t>
          </w:r>
        </w:p>
        <w:p w14:paraId="50A65115" w14:textId="77777777" w:rsidR="00BE3682" w:rsidRDefault="00BE3682">
          <w:pPr>
            <w:spacing w:after="0" w:line="240" w:lineRule="auto"/>
            <w:rPr>
              <w:rFonts w:ascii="Trebuchet MS" w:hAnsi="Trebuchet MS"/>
              <w:sz w:val="12"/>
              <w:szCs w:val="12"/>
            </w:rPr>
          </w:pPr>
        </w:p>
        <w:p w14:paraId="17816713" w14:textId="77777777" w:rsidR="00BE3682" w:rsidRDefault="00BE3682">
          <w:pPr>
            <w:spacing w:after="0" w:line="240" w:lineRule="auto"/>
          </w:pPr>
          <w:hyperlink r:id="rId2" w:history="1">
            <w:r>
              <w:rPr>
                <w:rFonts w:ascii="Trebuchet MS" w:eastAsia="Times New Roman" w:hAnsi="Trebuchet MS" w:cs="Calibri"/>
                <w:color w:val="808080"/>
                <w:spacing w:val="1"/>
                <w:kern w:val="3"/>
                <w:sz w:val="12"/>
                <w:szCs w:val="12"/>
                <w:lang w:eastAsia="es-ES"/>
              </w:rPr>
              <w:t>922 236 048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hAnsi="Trebuchet MS"/>
              <w:color w:val="808080"/>
              <w:sz w:val="12"/>
              <w:szCs w:val="12"/>
              <w:lang w:eastAsia="es-ES"/>
            </w:rPr>
            <w:t xml:space="preserve">· 928 385 078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3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info@gmrcanarias.com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4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www.gmrcanarias.com</w:t>
            </w:r>
          </w:hyperlink>
        </w:p>
        <w:p w14:paraId="5A5C1293" w14:textId="77777777" w:rsidR="00BE3682" w:rsidRDefault="00BE3682">
          <w:pPr>
            <w:spacing w:after="0" w:line="240" w:lineRule="auto"/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</w:pP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>C/ Jesús Hernández Guzmán, 2. Planta C. Polígono Industrial El Mayorazgo - 38110 Santa Cruz de Tenerife (S/C de Tenerife)</w:t>
          </w:r>
        </w:p>
        <w:p w14:paraId="194186F8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C/ La Restinga, 1. Polígono Industrial Las Majoreras</w:t>
          </w: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 xml:space="preserve"> -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35259 Ingenio (Las Palmas)</w:t>
          </w:r>
        </w:p>
        <w:p w14:paraId="01E38B59" w14:textId="77777777" w:rsidR="00BE3682" w:rsidRDefault="00BE3682">
          <w:pPr>
            <w:pStyle w:val="Piedepgina"/>
            <w:jc w:val="center"/>
          </w:pPr>
        </w:p>
      </w:tc>
    </w:tr>
  </w:tbl>
  <w:p w14:paraId="00A2AED7" w14:textId="77777777" w:rsidR="00BE3682" w:rsidRDefault="00BE3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9F1" w14:textId="77777777" w:rsidR="0067779A" w:rsidRDefault="006777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150890" w14:textId="77777777" w:rsidR="0067779A" w:rsidRDefault="0067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A6197C" w14:paraId="19749B74" w14:textId="77777777">
      <w:tc>
        <w:tcPr>
          <w:tcW w:w="32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31AC0E4" w14:textId="77777777" w:rsidR="00BE3682" w:rsidRDefault="00BE3682">
          <w:pPr>
            <w:pStyle w:val="Encabezado"/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BFDA280" wp14:editId="1C4FC33F">
                <wp:extent cx="1438908" cy="501018"/>
                <wp:effectExtent l="0" t="0" r="8892" b="0"/>
                <wp:docPr id="1725292987" name="Imagen 2" descr="Icon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0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66AC78" w14:textId="77777777" w:rsidR="00BE3682" w:rsidRDefault="00BE3682">
          <w:pPr>
            <w:pStyle w:val="Encabezado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F32F90" w14:textId="77777777" w:rsidR="00BE3682" w:rsidRDefault="00BE3682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B020AF3" wp14:editId="586AD58E">
                <wp:extent cx="1041401" cy="501018"/>
                <wp:effectExtent l="0" t="0" r="6349" b="0"/>
                <wp:docPr id="1495556635" name="Imagen 3" descr="Interfaz de usuario gráfica, 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7C7999" w14:textId="77777777" w:rsidR="00BE3682" w:rsidRDefault="00BE36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D4"/>
    <w:rsid w:val="00010620"/>
    <w:rsid w:val="00022F69"/>
    <w:rsid w:val="00235DE3"/>
    <w:rsid w:val="002961A5"/>
    <w:rsid w:val="004C1162"/>
    <w:rsid w:val="005229FA"/>
    <w:rsid w:val="0053168C"/>
    <w:rsid w:val="00644C2C"/>
    <w:rsid w:val="006637D4"/>
    <w:rsid w:val="0067779A"/>
    <w:rsid w:val="00703C8E"/>
    <w:rsid w:val="00813F60"/>
    <w:rsid w:val="00860F40"/>
    <w:rsid w:val="00A7062C"/>
    <w:rsid w:val="00B56384"/>
    <w:rsid w:val="00BC610E"/>
    <w:rsid w:val="00BD1DE3"/>
    <w:rsid w:val="00BE3682"/>
    <w:rsid w:val="00BE63D0"/>
    <w:rsid w:val="00C9087A"/>
    <w:rsid w:val="00CA00AD"/>
    <w:rsid w:val="00E06B8B"/>
    <w:rsid w:val="00E54411"/>
    <w:rsid w:val="00E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F0A"/>
  <w15:docId w15:val="{612A0306-AEC3-402B-B637-6B1F903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3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813F6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E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1DE3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384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961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canarias.com/wp-content/uploads/2026/04/1029-Capital-social-dotacion-fundacional-o-participacion-2025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mrcanarias.com/wp-content/uploads/2026/04/1029-Capital-social-dotacion-fundacional-o-participacion-2025-1.xls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rcanarias.com/wp-content/uploads/2026/04/1029-Capital-social-dotacion-fundacional-o-participacion-2025-1.od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rcanarias.com" TargetMode="External"/><Relationship Id="rId2" Type="http://schemas.openxmlformats.org/officeDocument/2006/relationships/hyperlink" Target="te:+34922236048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gmrcanari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299</Words>
  <Characters>1645</Characters>
  <Application>Microsoft Office Word</Application>
  <DocSecurity>0</DocSecurity>
  <Lines>31</Lines>
  <Paragraphs>10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Rosario Rodríguez González</cp:lastModifiedBy>
  <cp:revision>12</cp:revision>
  <cp:lastPrinted>2023-06-01T09:55:00Z</cp:lastPrinted>
  <dcterms:created xsi:type="dcterms:W3CDTF">2025-03-27T10:22:00Z</dcterms:created>
  <dcterms:modified xsi:type="dcterms:W3CDTF">2026-04-20T09:56:00Z</dcterms:modified>
</cp:coreProperties>
</file>