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4C6F" w14:textId="77777777" w:rsidR="00950432" w:rsidRPr="00950432" w:rsidRDefault="00950432" w:rsidP="00950432">
      <w:pPr>
        <w:jc w:val="center"/>
        <w:rPr>
          <w:b/>
          <w:bCs/>
          <w:color w:val="004D86"/>
          <w:sz w:val="32"/>
          <w:szCs w:val="32"/>
        </w:rPr>
      </w:pPr>
      <w:r w:rsidRPr="00950432">
        <w:rPr>
          <w:b/>
          <w:bCs/>
          <w:color w:val="004D86"/>
          <w:sz w:val="32"/>
          <w:szCs w:val="32"/>
        </w:rPr>
        <w:t>ESTADÍSTICA</w:t>
      </w:r>
    </w:p>
    <w:p w14:paraId="524F01C4" w14:textId="77777777" w:rsidR="002D7F86" w:rsidRPr="002D7F86" w:rsidRDefault="002D7F86" w:rsidP="002D7F86">
      <w:pPr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2D7F86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Información correspondiente año 2025</w:t>
      </w:r>
    </w:p>
    <w:p w14:paraId="3C039478" w14:textId="77777777" w:rsidR="002D7F86" w:rsidRPr="002D7F86" w:rsidRDefault="002D7F86" w:rsidP="002D7F86">
      <w:pPr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2D7F86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GMR Canarias no realiza servicios públicos ni tiene competencias para su realización, por tanto, GMR Canarias no puede aportar ningún tipo de información sobre el grado de cumplimiento y calidad de los servicios públicos, por lo que no dispone de datos para realizar estadísticas.</w:t>
      </w:r>
    </w:p>
    <w:p w14:paraId="70639862" w14:textId="77777777" w:rsidR="002D7F86" w:rsidRPr="002D7F86" w:rsidRDefault="002D7F86" w:rsidP="002D7F86">
      <w:pPr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2D7F86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Información estadística necesaria para valorar el grado de cumplimiento y calidad de los servicios públicos que sean de su competencia 2025  </w:t>
      </w:r>
      <w:hyperlink r:id="rId4" w:history="1">
        <w:r w:rsidRPr="002D7F86">
          <w:rPr>
            <w:rStyle w:val="Hipervnculo"/>
            <w:rFonts w:ascii="Times New Roman" w:eastAsia="Times New Roman" w:hAnsi="Times New Roman" w:cs="Times New Roman"/>
            <w:b/>
            <w:bCs/>
            <w:kern w:val="0"/>
            <w:lang w:eastAsia="es-ES"/>
            <w14:ligatures w14:val="none"/>
          </w:rPr>
          <w:t>(docx)</w:t>
        </w:r>
      </w:hyperlink>
      <w:r w:rsidRPr="002D7F86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 </w:t>
      </w:r>
      <w:hyperlink r:id="rId5" w:history="1">
        <w:r w:rsidRPr="002D7F86">
          <w:rPr>
            <w:rStyle w:val="Hipervnculo"/>
            <w:rFonts w:ascii="Times New Roman" w:eastAsia="Times New Roman" w:hAnsi="Times New Roman" w:cs="Times New Roman"/>
            <w:b/>
            <w:bCs/>
            <w:kern w:val="0"/>
            <w:lang w:eastAsia="es-ES"/>
            <w14:ligatures w14:val="none"/>
          </w:rPr>
          <w:t>(</w:t>
        </w:r>
        <w:proofErr w:type="spellStart"/>
        <w:r w:rsidRPr="002D7F86">
          <w:rPr>
            <w:rStyle w:val="Hipervnculo"/>
            <w:rFonts w:ascii="Times New Roman" w:eastAsia="Times New Roman" w:hAnsi="Times New Roman" w:cs="Times New Roman"/>
            <w:b/>
            <w:bCs/>
            <w:kern w:val="0"/>
            <w:lang w:eastAsia="es-ES"/>
            <w14:ligatures w14:val="none"/>
          </w:rPr>
          <w:t>odt</w:t>
        </w:r>
        <w:proofErr w:type="spellEnd"/>
        <w:r w:rsidRPr="002D7F86">
          <w:rPr>
            <w:rStyle w:val="Hipervnculo"/>
            <w:rFonts w:ascii="Times New Roman" w:eastAsia="Times New Roman" w:hAnsi="Times New Roman" w:cs="Times New Roman"/>
            <w:b/>
            <w:bCs/>
            <w:kern w:val="0"/>
            <w:lang w:eastAsia="es-ES"/>
            <w14:ligatures w14:val="none"/>
          </w:rPr>
          <w:t>)</w:t>
        </w:r>
      </w:hyperlink>
    </w:p>
    <w:p w14:paraId="37D9CACF" w14:textId="77777777" w:rsidR="002D7F86" w:rsidRPr="002D7F86" w:rsidRDefault="002D7F86" w:rsidP="002D7F86">
      <w:pPr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2D7F86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 </w:t>
      </w:r>
    </w:p>
    <w:p w14:paraId="39462D8F" w14:textId="77777777" w:rsidR="002D7F86" w:rsidRPr="002D7F86" w:rsidRDefault="002D7F86" w:rsidP="002D7F86">
      <w:pPr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2D7F86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En el siguiente enlace puede consultar </w:t>
      </w:r>
      <w:hyperlink r:id="rId6" w:history="1">
        <w:r w:rsidRPr="002D7F86">
          <w:rPr>
            <w:rStyle w:val="Hipervnculo"/>
            <w:rFonts w:ascii="Times New Roman" w:eastAsia="Times New Roman" w:hAnsi="Times New Roman" w:cs="Times New Roman"/>
            <w:b/>
            <w:bCs/>
            <w:kern w:val="0"/>
            <w:lang w:eastAsia="es-ES"/>
            <w14:ligatures w14:val="none"/>
          </w:rPr>
          <w:t>la Estadística de la Consejería de Agricultura, Ganadería, Pesca y Soberanía Alimentaria del Gobierno de Canarias</w:t>
        </w:r>
      </w:hyperlink>
    </w:p>
    <w:p w14:paraId="544E8FEE" w14:textId="77777777" w:rsidR="002D7F86" w:rsidRPr="002D7F86" w:rsidRDefault="002D7F86" w:rsidP="002D7F86">
      <w:pPr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2D7F86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 </w:t>
      </w:r>
    </w:p>
    <w:p w14:paraId="64F47427" w14:textId="77777777" w:rsidR="002D7F86" w:rsidRPr="002D7F86" w:rsidRDefault="002D7F86" w:rsidP="002D7F86">
      <w:pPr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2D7F86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Formato: PDF/HTML/ODT/DOCX</w:t>
      </w:r>
      <w:r w:rsidRPr="002D7F86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br/>
        <w:t>Responsable: Gestión del Medio Rural de Canarias, S.A.U. (GMR Canarias).</w:t>
      </w:r>
      <w:r w:rsidRPr="002D7F86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br/>
        <w:t>Fecha de Actualización:  9 de abril de 2026.</w:t>
      </w:r>
    </w:p>
    <w:p w14:paraId="354DFF8C" w14:textId="77890F42" w:rsidR="009A2892" w:rsidRPr="00950432" w:rsidRDefault="009A2892" w:rsidP="00950432"/>
    <w:sectPr w:rsidR="009A2892" w:rsidRPr="00950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6C"/>
    <w:rsid w:val="002D7F86"/>
    <w:rsid w:val="0032605C"/>
    <w:rsid w:val="003C4B2D"/>
    <w:rsid w:val="00512B6C"/>
    <w:rsid w:val="005B4BB9"/>
    <w:rsid w:val="005E7FEC"/>
    <w:rsid w:val="006A7122"/>
    <w:rsid w:val="006D31FD"/>
    <w:rsid w:val="007D0A3F"/>
    <w:rsid w:val="00897F45"/>
    <w:rsid w:val="00906E6C"/>
    <w:rsid w:val="00950432"/>
    <w:rsid w:val="009A2892"/>
    <w:rsid w:val="00AB1031"/>
    <w:rsid w:val="00B41D2B"/>
    <w:rsid w:val="00C951F9"/>
    <w:rsid w:val="00CB0524"/>
    <w:rsid w:val="00E7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57AF"/>
  <w15:chartTrackingRefBased/>
  <w15:docId w15:val="{E95DFB69-DF36-4E17-9BED-94C111BA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2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2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2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2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2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2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2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2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2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2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2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2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2B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2B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2B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2B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2B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2B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2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2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2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2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2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2B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2B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2B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2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2B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2B6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5043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043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06E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biernodecanarias.org/agpsa/sgt/temas/estadistica/" TargetMode="External"/><Relationship Id="rId5" Type="http://schemas.openxmlformats.org/officeDocument/2006/relationships/hyperlink" Target="https://gmrcanarias.com/wp-content/uploads/2026/04/1195-Informacion-estadistica-necesaria.odt" TargetMode="External"/><Relationship Id="rId4" Type="http://schemas.openxmlformats.org/officeDocument/2006/relationships/hyperlink" Target="https://gmrcanarias.com/wp-content/uploads/2026/04/1195-Informacion-estadistica-necesaria.doc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Brito Rodríguez</dc:creator>
  <cp:keywords/>
  <dc:description/>
  <cp:lastModifiedBy>Rosario Rodríguez González</cp:lastModifiedBy>
  <cp:revision>9</cp:revision>
  <dcterms:created xsi:type="dcterms:W3CDTF">2025-03-20T14:26:00Z</dcterms:created>
  <dcterms:modified xsi:type="dcterms:W3CDTF">2026-04-17T11:37:00Z</dcterms:modified>
</cp:coreProperties>
</file>