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4ADF" w14:textId="77777777" w:rsidR="00FB40FF" w:rsidRDefault="00FB40FF" w:rsidP="00FB40FF">
      <w:pPr>
        <w:jc w:val="both"/>
        <w:rPr>
          <w:b/>
          <w:bCs/>
          <w:u w:val="single"/>
        </w:rPr>
      </w:pPr>
    </w:p>
    <w:p w14:paraId="1CE2B85F" w14:textId="4D512953" w:rsidR="00FB40FF" w:rsidRPr="00FB40FF" w:rsidRDefault="00FB40FF" w:rsidP="00FB40FF">
      <w:pPr>
        <w:jc w:val="both"/>
        <w:rPr>
          <w:u w:val="single"/>
        </w:rPr>
      </w:pPr>
      <w:r w:rsidRPr="00FB40FF">
        <w:rPr>
          <w:b/>
          <w:bCs/>
          <w:u w:val="single"/>
        </w:rPr>
        <w:t>INFORMACIÓN BÁSICA SOBRE LA FINANCIACIÓN DE LA ENTIDAD EN 2025</w:t>
      </w:r>
    </w:p>
    <w:p w14:paraId="40C7C3F1" w14:textId="77777777" w:rsidR="00FB40FF" w:rsidRPr="00FB40FF" w:rsidRDefault="00FB40FF" w:rsidP="00FB40FF">
      <w:pPr>
        <w:jc w:val="both"/>
      </w:pPr>
      <w:r w:rsidRPr="00FB40FF">
        <w:t>Durante el ejercicio 2025, la Sociedad se ha financiado principalmente a través de cinco fuentes:</w:t>
      </w:r>
    </w:p>
    <w:p w14:paraId="4AB4CD91" w14:textId="77777777" w:rsidR="00FB40FF" w:rsidRPr="00FB40FF" w:rsidRDefault="00FB40FF" w:rsidP="00FB40FF">
      <w:pPr>
        <w:numPr>
          <w:ilvl w:val="0"/>
          <w:numId w:val="2"/>
        </w:numPr>
        <w:jc w:val="both"/>
      </w:pPr>
      <w:r w:rsidRPr="00FB40FF">
        <w:t>Facturación e ingresos derivados de la venta de productos.</w:t>
      </w:r>
    </w:p>
    <w:p w14:paraId="153F056D" w14:textId="77777777" w:rsidR="00FB40FF" w:rsidRPr="00FB40FF" w:rsidRDefault="00FB40FF" w:rsidP="00FB40FF">
      <w:pPr>
        <w:numPr>
          <w:ilvl w:val="0"/>
          <w:numId w:val="2"/>
        </w:numPr>
        <w:jc w:val="both"/>
      </w:pPr>
      <w:r w:rsidRPr="00FB40FF">
        <w:t>Facturación e ingresos por la prestación de servicios correspondientes a encargos como medio propio personificado.</w:t>
      </w:r>
    </w:p>
    <w:p w14:paraId="2DBFE098" w14:textId="77777777" w:rsidR="00FB40FF" w:rsidRPr="00FB40FF" w:rsidRDefault="00FB40FF" w:rsidP="00FB40FF">
      <w:pPr>
        <w:numPr>
          <w:ilvl w:val="0"/>
          <w:numId w:val="2"/>
        </w:numPr>
        <w:jc w:val="both"/>
      </w:pPr>
      <w:r w:rsidRPr="00FB40FF">
        <w:t>Aportaciones dinerarias destinadas a actividades específicas, fundamentalmente para la promoción de productos del sector primario y el desarrollo de entornos rurales.</w:t>
      </w:r>
    </w:p>
    <w:p w14:paraId="3517F153" w14:textId="77777777" w:rsidR="00FB40FF" w:rsidRPr="00FB40FF" w:rsidRDefault="00FB40FF" w:rsidP="00FB40FF">
      <w:pPr>
        <w:numPr>
          <w:ilvl w:val="0"/>
          <w:numId w:val="2"/>
        </w:numPr>
        <w:jc w:val="both"/>
      </w:pPr>
      <w:r w:rsidRPr="00FB40FF">
        <w:t>Aportación dineraria destinada a cubrir los gastos de funcionamiento estructural y de actividad de la Sociedad.</w:t>
      </w:r>
    </w:p>
    <w:p w14:paraId="7291C947" w14:textId="77777777" w:rsidR="00FB40FF" w:rsidRPr="00FB40FF" w:rsidRDefault="00FB40FF" w:rsidP="00FB40FF">
      <w:pPr>
        <w:numPr>
          <w:ilvl w:val="0"/>
          <w:numId w:val="2"/>
        </w:numPr>
        <w:jc w:val="both"/>
      </w:pPr>
      <w:r w:rsidRPr="00FB40FF">
        <w:t>Aportación dineraria para la financiación de inversiones en inmovilizado y otros activos de la Sociedad.</w:t>
      </w:r>
    </w:p>
    <w:p w14:paraId="5DE3979C" w14:textId="77777777" w:rsidR="00FB40FF" w:rsidRPr="00FB40FF" w:rsidRDefault="00FB40FF" w:rsidP="00FB40FF">
      <w:pPr>
        <w:jc w:val="both"/>
        <w:rPr>
          <w:b/>
          <w:bCs/>
        </w:rPr>
      </w:pPr>
      <w:r w:rsidRPr="00FB40FF">
        <w:rPr>
          <w:b/>
          <w:bCs/>
        </w:rPr>
        <w:t>Actividad comercial</w:t>
      </w:r>
    </w:p>
    <w:p w14:paraId="7F3C2E62" w14:textId="77777777" w:rsidR="00FB40FF" w:rsidRPr="00FB40FF" w:rsidRDefault="00FB40FF" w:rsidP="00FB40FF">
      <w:pPr>
        <w:jc w:val="both"/>
      </w:pPr>
      <w:r w:rsidRPr="00FB40FF">
        <w:t>La Sociedad obtiene financiación a través de la venta de productos del sector primario canario, así como de servicios accesorios vinculados a dicha actividad. Estas ventas se realizan a través de diferentes canales comerciales, entre los que se incluyen Grandes Superficies, Supermercados, HORECA, mayoristas y distribuidores.</w:t>
      </w:r>
    </w:p>
    <w:p w14:paraId="42CC6953" w14:textId="77777777" w:rsidR="00FB40FF" w:rsidRPr="00FB40FF" w:rsidRDefault="00FB40FF" w:rsidP="00FB40FF">
      <w:pPr>
        <w:jc w:val="both"/>
      </w:pPr>
      <w:r w:rsidRPr="00FB40FF">
        <w:t>Asimismo, la Sociedad mantiene presencia comercial mediante la venta online y a través del establecimiento ubicado en Madrid.</w:t>
      </w:r>
    </w:p>
    <w:p w14:paraId="36F17B95" w14:textId="77777777" w:rsidR="00FB40FF" w:rsidRPr="00FB40FF" w:rsidRDefault="00FB40FF" w:rsidP="00FB40FF">
      <w:pPr>
        <w:jc w:val="both"/>
      </w:pPr>
      <w:r w:rsidRPr="00FB40FF">
        <w:t xml:space="preserve">Durante el ejercicio 2025, las ventas ascendieron a </w:t>
      </w:r>
      <w:r w:rsidRPr="00FB40FF">
        <w:rPr>
          <w:b/>
          <w:bCs/>
        </w:rPr>
        <w:t>11.662.601,89 euros</w:t>
      </w:r>
      <w:r w:rsidRPr="00FB40FF">
        <w:t>. Este importe contribuye a financiar la compra de productos, su transformación y distribución, así como parte de los gastos asociados a la red de establecimientos y al personal comercial.</w:t>
      </w:r>
    </w:p>
    <w:p w14:paraId="691EC237" w14:textId="77777777" w:rsidR="00FB40FF" w:rsidRPr="00FB40FF" w:rsidRDefault="00FB40FF" w:rsidP="00FB40FF">
      <w:pPr>
        <w:jc w:val="both"/>
        <w:rPr>
          <w:b/>
          <w:bCs/>
        </w:rPr>
      </w:pPr>
      <w:r w:rsidRPr="00FB40FF">
        <w:rPr>
          <w:b/>
          <w:bCs/>
        </w:rPr>
        <w:t>Encargos como medio propio personificado</w:t>
      </w:r>
    </w:p>
    <w:p w14:paraId="5C0DB5EF" w14:textId="77777777" w:rsidR="00FB40FF" w:rsidRPr="00FB40FF" w:rsidRDefault="00FB40FF" w:rsidP="00FB40FF">
      <w:pPr>
        <w:jc w:val="both"/>
      </w:pPr>
      <w:r w:rsidRPr="00FB40FF">
        <w:t xml:space="preserve">A lo largo de 2025, la Sociedad recibió encargos de diversas consejerías del Gobierno de Canarias y de sus organismos autónomos por un importe total de </w:t>
      </w:r>
      <w:r w:rsidRPr="00FB40FF">
        <w:rPr>
          <w:b/>
          <w:bCs/>
        </w:rPr>
        <w:t>8.012.254,32 euros</w:t>
      </w:r>
      <w:r w:rsidRPr="00FB40FF">
        <w:t>.</w:t>
      </w:r>
    </w:p>
    <w:p w14:paraId="150978A1" w14:textId="77777777" w:rsidR="00FB40FF" w:rsidRPr="00FB40FF" w:rsidRDefault="00FB40FF" w:rsidP="00FB40FF">
      <w:pPr>
        <w:jc w:val="both"/>
      </w:pPr>
      <w:r w:rsidRPr="00FB40FF">
        <w:t>Estos ingresos financian los costes directos asociados a dichos proyectos, fundamentalmente costes de personal, así como una parte de los costes estructurales de la Sociedad.</w:t>
      </w:r>
    </w:p>
    <w:p w14:paraId="2765740F" w14:textId="77777777" w:rsidR="00FB40FF" w:rsidRPr="00FB40FF" w:rsidRDefault="00FB40FF" w:rsidP="00FB40FF">
      <w:pPr>
        <w:jc w:val="both"/>
        <w:rPr>
          <w:b/>
          <w:bCs/>
        </w:rPr>
      </w:pPr>
      <w:r w:rsidRPr="00FB40FF">
        <w:rPr>
          <w:b/>
          <w:bCs/>
        </w:rPr>
        <w:t>Actividades con financiación específica</w:t>
      </w:r>
    </w:p>
    <w:p w14:paraId="7A22266F" w14:textId="55786BAE" w:rsidR="00FB40FF" w:rsidRDefault="00FB40FF" w:rsidP="00FB40FF">
      <w:pPr>
        <w:jc w:val="both"/>
      </w:pPr>
      <w:r w:rsidRPr="00FB40FF">
        <w:t>Durante el ejercicio 2025, la Sociedad recibió diversas aportaciones dinerarias por importe total de</w:t>
      </w:r>
      <w:r w:rsidRPr="00FB40FF">
        <w:rPr>
          <w:b/>
          <w:bCs/>
        </w:rPr>
        <w:t xml:space="preserve"> 4.493.813,14 euros</w:t>
      </w:r>
      <w:r w:rsidRPr="00FB40FF">
        <w:t>, destinadas a la ejecución de proyectos relacionados con la promoción de productos del sector primario canario y con actividades orientadas al desarrollo del entorno rural en Canarias.</w:t>
      </w:r>
    </w:p>
    <w:p w14:paraId="69A1A48C" w14:textId="77777777" w:rsidR="00FB40FF" w:rsidRPr="00FB40FF" w:rsidRDefault="00FB40FF" w:rsidP="00FB40FF">
      <w:pPr>
        <w:jc w:val="both"/>
      </w:pPr>
    </w:p>
    <w:p w14:paraId="215FA4BD" w14:textId="77777777" w:rsidR="00FB40FF" w:rsidRDefault="00FB40FF" w:rsidP="00FB40FF">
      <w:pPr>
        <w:jc w:val="both"/>
        <w:rPr>
          <w:b/>
          <w:bCs/>
        </w:rPr>
      </w:pPr>
    </w:p>
    <w:p w14:paraId="0B295901" w14:textId="79327FD9" w:rsidR="00FB40FF" w:rsidRPr="00FB40FF" w:rsidRDefault="00FB40FF" w:rsidP="00FB40FF">
      <w:pPr>
        <w:jc w:val="both"/>
        <w:rPr>
          <w:b/>
          <w:bCs/>
        </w:rPr>
      </w:pPr>
      <w:r w:rsidRPr="00FB40FF">
        <w:rPr>
          <w:b/>
          <w:bCs/>
        </w:rPr>
        <w:t>Inversión en inmovilizado</w:t>
      </w:r>
    </w:p>
    <w:p w14:paraId="4C482566" w14:textId="77777777" w:rsidR="00FB40FF" w:rsidRPr="00FB40FF" w:rsidRDefault="00FB40FF" w:rsidP="00FB40FF">
      <w:pPr>
        <w:jc w:val="both"/>
      </w:pPr>
      <w:r w:rsidRPr="00FB40FF">
        <w:t xml:space="preserve">La Sociedad recibió una aportación dineraria por importe de </w:t>
      </w:r>
      <w:r w:rsidRPr="00FB40FF">
        <w:rPr>
          <w:b/>
          <w:bCs/>
        </w:rPr>
        <w:t>290.000,00 euros</w:t>
      </w:r>
      <w:r w:rsidRPr="00FB40FF">
        <w:t xml:space="preserve"> destinada a financiar inversiones en inmovilizado realizadas durante el ejercicio 2025.</w:t>
      </w:r>
    </w:p>
    <w:p w14:paraId="06CF9014" w14:textId="07C7DA11" w:rsidR="00FB40FF" w:rsidRPr="00FB40FF" w:rsidRDefault="00FB40FF" w:rsidP="00FB40FF">
      <w:pPr>
        <w:jc w:val="both"/>
      </w:pPr>
    </w:p>
    <w:p w14:paraId="63D6F075" w14:textId="77777777" w:rsidR="00FB40FF" w:rsidRPr="00FB40FF" w:rsidRDefault="00FB40FF" w:rsidP="00FB40FF">
      <w:pPr>
        <w:jc w:val="both"/>
        <w:rPr>
          <w:b/>
          <w:bCs/>
        </w:rPr>
      </w:pPr>
      <w:r w:rsidRPr="00FB40FF">
        <w:rPr>
          <w:b/>
          <w:bCs/>
        </w:rPr>
        <w:t>ESTRUCTURA FINANCIERA</w:t>
      </w:r>
    </w:p>
    <w:p w14:paraId="47D3A440" w14:textId="77777777" w:rsidR="00FB40FF" w:rsidRPr="00FB40FF" w:rsidRDefault="00FB40FF" w:rsidP="00FB40FF">
      <w:pPr>
        <w:jc w:val="both"/>
      </w:pPr>
      <w:r w:rsidRPr="00FB40FF">
        <w:t xml:space="preserve">La Sociedad cuenta con un capital social de </w:t>
      </w:r>
      <w:r w:rsidRPr="00FB40FF">
        <w:rPr>
          <w:b/>
          <w:bCs/>
        </w:rPr>
        <w:t>3.377.579,01 euros</w:t>
      </w:r>
      <w:r w:rsidRPr="00FB40FF">
        <w:t xml:space="preserve">, que financia la totalidad del </w:t>
      </w:r>
      <w:r w:rsidRPr="00FB40FF">
        <w:rPr>
          <w:b/>
          <w:bCs/>
        </w:rPr>
        <w:t>Activo No Corriente</w:t>
      </w:r>
      <w:r w:rsidRPr="00FB40FF">
        <w:t xml:space="preserve">, cuyo importe asciende a </w:t>
      </w:r>
      <w:r w:rsidRPr="00FB40FF">
        <w:rPr>
          <w:b/>
          <w:bCs/>
        </w:rPr>
        <w:t>1.125.193,72 euros</w:t>
      </w:r>
      <w:r w:rsidRPr="00FB40FF">
        <w:t xml:space="preserve">, así como la totalidad de las existencias comerciales y los saldos de clientes comerciales integrados en el </w:t>
      </w:r>
      <w:r w:rsidRPr="00FB40FF">
        <w:rPr>
          <w:b/>
          <w:bCs/>
        </w:rPr>
        <w:t>Activo Corriente</w:t>
      </w:r>
      <w:r w:rsidRPr="00FB40FF">
        <w:t>.</w:t>
      </w:r>
    </w:p>
    <w:p w14:paraId="1D510CBC" w14:textId="77777777" w:rsidR="00FB40FF" w:rsidRPr="00FB40FF" w:rsidRDefault="00FB40FF" w:rsidP="00FB40FF">
      <w:pPr>
        <w:jc w:val="both"/>
      </w:pPr>
      <w:r w:rsidRPr="00FB40FF">
        <w:t xml:space="preserve">El resto del </w:t>
      </w:r>
      <w:r w:rsidRPr="00FB40FF">
        <w:rPr>
          <w:b/>
          <w:bCs/>
        </w:rPr>
        <w:t>Activo Corriente</w:t>
      </w:r>
      <w:r w:rsidRPr="00FB40FF">
        <w:t xml:space="preserve"> se encuentra financiado mediante saldos de proveedores y acreedores, dentro de los plazos habituales del periodo medio de maduración económico.</w:t>
      </w:r>
    </w:p>
    <w:p w14:paraId="496247D6" w14:textId="77777777" w:rsidR="00FB40FF" w:rsidRPr="00FB40FF" w:rsidRDefault="00FB40FF" w:rsidP="00FB40FF">
      <w:pPr>
        <w:jc w:val="both"/>
      </w:pPr>
      <w:r w:rsidRPr="00FB40FF">
        <w:t>Asimismo, la Sociedad mantiene saldos de tesorería adecuados para atender sus obligaciones de pago a corto plazo y cumplir con los vencimientos acordados y con los establecidos por la normativa aplicable.</w:t>
      </w:r>
    </w:p>
    <w:p w14:paraId="6EABFE05" w14:textId="77777777" w:rsidR="007F6A62" w:rsidRDefault="007F6A62" w:rsidP="00FB40FF">
      <w:pPr>
        <w:jc w:val="both"/>
      </w:pPr>
    </w:p>
    <w:p w14:paraId="580EE2BD" w14:textId="77777777" w:rsidR="007F6A62" w:rsidRDefault="007F6A62" w:rsidP="00FB40FF">
      <w:pPr>
        <w:jc w:val="both"/>
      </w:pPr>
    </w:p>
    <w:p w14:paraId="5662746F" w14:textId="77777777" w:rsidR="007F6A62" w:rsidRDefault="007F6A62" w:rsidP="00FB40FF">
      <w:pPr>
        <w:jc w:val="both"/>
      </w:pPr>
    </w:p>
    <w:p w14:paraId="67A5F473" w14:textId="77777777" w:rsidR="007F6A62" w:rsidRDefault="007F6A62" w:rsidP="00FB40FF">
      <w:pPr>
        <w:jc w:val="both"/>
      </w:pPr>
    </w:p>
    <w:p w14:paraId="60BA3BE2" w14:textId="77777777" w:rsidR="007F6A62" w:rsidRDefault="007F6A62" w:rsidP="00FB40FF">
      <w:pPr>
        <w:jc w:val="both"/>
      </w:pPr>
    </w:p>
    <w:p w14:paraId="48A217D3" w14:textId="649FC7A0" w:rsidR="00FB40FF" w:rsidRPr="00FB40FF" w:rsidRDefault="007F6A62" w:rsidP="00FB40FF">
      <w:pPr>
        <w:jc w:val="both"/>
      </w:pPr>
      <w:r>
        <w:t>Actualizado a 08/06/2026.</w:t>
      </w:r>
    </w:p>
    <w:sectPr w:rsidR="00FB40FF" w:rsidRPr="00FB40FF" w:rsidSect="002C2838">
      <w:headerReference w:type="default" r:id="rId8"/>
      <w:footerReference w:type="default" r:id="rId9"/>
      <w:pgSz w:w="11906" w:h="16838"/>
      <w:pgMar w:top="1702" w:right="1133" w:bottom="1701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5673" w14:textId="77777777" w:rsidR="00046094" w:rsidRDefault="00046094" w:rsidP="0043583C">
      <w:pPr>
        <w:spacing w:after="0" w:line="240" w:lineRule="auto"/>
      </w:pPr>
      <w:r>
        <w:separator/>
      </w:r>
    </w:p>
  </w:endnote>
  <w:endnote w:type="continuationSeparator" w:id="0">
    <w:p w14:paraId="7F555321" w14:textId="77777777" w:rsidR="00046094" w:rsidRDefault="00046094" w:rsidP="0043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XNarrow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Zuric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Look w:val="04A0" w:firstRow="1" w:lastRow="0" w:firstColumn="1" w:lastColumn="0" w:noHBand="0" w:noVBand="1"/>
    </w:tblPr>
    <w:tblGrid>
      <w:gridCol w:w="9634"/>
    </w:tblGrid>
    <w:tr w:rsidR="00AC097E" w:rsidRPr="000B19A9" w14:paraId="557EC9EB" w14:textId="77777777" w:rsidTr="000B19A9">
      <w:trPr>
        <w:trHeight w:val="826"/>
        <w:jc w:val="center"/>
      </w:trPr>
      <w:tc>
        <w:tcPr>
          <w:tcW w:w="9634" w:type="dxa"/>
        </w:tcPr>
        <w:p w14:paraId="2334A359" w14:textId="77777777" w:rsidR="00AC097E" w:rsidRPr="000B19A9" w:rsidRDefault="00445623" w:rsidP="000B19A9">
          <w:pPr>
            <w:spacing w:after="0" w:line="240" w:lineRule="auto"/>
            <w:jc w:val="center"/>
            <w:rPr>
              <w:rFonts w:ascii="Gotham XNarrow Book" w:eastAsia="Times New Roman" w:hAnsi="Gotham XNarrow Book" w:cstheme="minorHAnsi"/>
              <w:color w:val="808080" w:themeColor="background1" w:themeShade="80"/>
              <w:spacing w:val="1"/>
              <w:kern w:val="16"/>
              <w:sz w:val="12"/>
              <w:szCs w:val="12"/>
              <w:lang w:eastAsia="es-ES"/>
            </w:rPr>
          </w:pPr>
          <w:r>
            <w:rPr>
              <w:rFonts w:asciiTheme="minorHAnsi" w:eastAsiaTheme="minorHAnsi" w:hAnsiTheme="minorHAnsi" w:cstheme="minorBid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E04896" wp14:editId="21060C9F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100330</wp:posOffset>
                    </wp:positionV>
                    <wp:extent cx="6130290" cy="0"/>
                    <wp:effectExtent l="11430" t="14605" r="11430" b="13970"/>
                    <wp:wrapNone/>
                    <wp:docPr id="1133724489" name="Conector rec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029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A5A5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E896E7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.85pt,7.9pt" to="476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" strokecolor="#a5a5a5" strokeweight="1pt"/>
                </w:pict>
              </mc:Fallback>
            </mc:AlternateContent>
          </w:r>
          <w:r w:rsidR="00AC097E" w:rsidRPr="000B19A9">
            <w:rPr>
              <w:rFonts w:ascii="Zurich BT" w:eastAsia="Times New Roman" w:hAnsi="Zurich BT" w:cstheme="minorHAnsi"/>
              <w:color w:val="333333"/>
              <w:spacing w:val="1"/>
              <w:kern w:val="16"/>
              <w:sz w:val="14"/>
              <w:szCs w:val="14"/>
              <w:lang w:eastAsia="es-ES"/>
            </w:rPr>
            <w:br/>
          </w:r>
        </w:p>
        <w:p w14:paraId="356B64D9" w14:textId="77777777" w:rsidR="003C6F19" w:rsidRPr="003D0497" w:rsidRDefault="003D0497" w:rsidP="003D0497">
          <w:pPr>
            <w:spacing w:after="0" w:line="240" w:lineRule="auto"/>
            <w:rPr>
              <w:rFonts w:ascii="Trebuchet MS" w:eastAsia="Times New Roman" w:hAnsi="Trebuchet MS" w:cstheme="minorHAnsi"/>
              <w:b/>
              <w:color w:val="808080" w:themeColor="background1" w:themeShade="80"/>
              <w:sz w:val="12"/>
              <w:szCs w:val="12"/>
              <w:lang w:eastAsia="es-ES"/>
            </w:rPr>
          </w:pPr>
          <w:r>
            <w:rPr>
              <w:rFonts w:ascii="Trebuchet MS" w:eastAsia="Times New Roman" w:hAnsi="Trebuchet MS" w:cstheme="minorHAnsi"/>
              <w:b/>
              <w:noProof/>
              <w:color w:val="808080" w:themeColor="background1" w:themeShade="80"/>
              <w:sz w:val="12"/>
              <w:szCs w:val="12"/>
              <w:lang w:eastAsia="es-ES"/>
            </w:rPr>
            <w:drawing>
              <wp:anchor distT="0" distB="0" distL="114300" distR="114300" simplePos="0" relativeHeight="251658239" behindDoc="0" locked="0" layoutInCell="1" allowOverlap="1" wp14:anchorId="5B4D87CB" wp14:editId="485F66C4">
                <wp:simplePos x="0" y="0"/>
                <wp:positionH relativeFrom="column">
                  <wp:posOffset>5073318</wp:posOffset>
                </wp:positionH>
                <wp:positionV relativeFrom="paragraph">
                  <wp:posOffset>63196</wp:posOffset>
                </wp:positionV>
                <wp:extent cx="887730" cy="405517"/>
                <wp:effectExtent l="19050" t="0" r="7620" b="0"/>
                <wp:wrapNone/>
                <wp:docPr id="5" name="4 Imagen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30" cy="405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C6F19" w:rsidRPr="003D0497">
            <w:rPr>
              <w:rFonts w:ascii="Trebuchet MS" w:eastAsia="Times New Roman" w:hAnsi="Trebuchet MS" w:cstheme="minorHAnsi"/>
              <w:b/>
              <w:color w:val="808080" w:themeColor="background1" w:themeShade="80"/>
              <w:sz w:val="12"/>
              <w:szCs w:val="12"/>
              <w:lang w:eastAsia="es-ES"/>
            </w:rPr>
            <w:t>GESTIÓN DEL MEDIO RURAL DE CANARIAS, S.A.U. - A38075750</w:t>
          </w:r>
        </w:p>
        <w:p w14:paraId="7408B8AA" w14:textId="77777777" w:rsidR="003C6F19" w:rsidRPr="003D0497" w:rsidRDefault="003C6F19" w:rsidP="003D0497">
          <w:pPr>
            <w:spacing w:after="0" w:line="240" w:lineRule="auto"/>
            <w:rPr>
              <w:rFonts w:ascii="Trebuchet MS" w:eastAsiaTheme="minorHAnsi" w:hAnsi="Trebuchet MS" w:cstheme="minorBidi"/>
              <w:color w:val="808080" w:themeColor="background1" w:themeShade="80"/>
              <w:sz w:val="12"/>
              <w:szCs w:val="12"/>
            </w:rPr>
          </w:pPr>
          <w:r w:rsidRPr="003D0497">
            <w:rPr>
              <w:rFonts w:ascii="Trebuchet MS" w:eastAsia="Times New Roman" w:hAnsi="Trebuchet MS" w:cstheme="minorHAnsi"/>
              <w:color w:val="808080" w:themeColor="background1" w:themeShade="80"/>
              <w:sz w:val="12"/>
              <w:szCs w:val="12"/>
              <w:lang w:eastAsia="es-ES"/>
            </w:rPr>
            <w:t>Inscrita en el Registro Mercantil de Santa Cruz de Tenerife, Tomo 430, Libro 238, de la Sección 3ª, Folio 33, Hoja TF-3.027, Inscripción 1ª</w:t>
          </w:r>
        </w:p>
        <w:p w14:paraId="0DA137D0" w14:textId="77777777" w:rsidR="003C6F19" w:rsidRPr="003D0497" w:rsidRDefault="003C6F19" w:rsidP="003D0497">
          <w:pPr>
            <w:spacing w:after="0" w:line="240" w:lineRule="auto"/>
            <w:rPr>
              <w:rFonts w:ascii="Trebuchet MS" w:eastAsiaTheme="minorHAnsi" w:hAnsi="Trebuchet MS" w:cstheme="minorBidi"/>
              <w:sz w:val="12"/>
              <w:szCs w:val="12"/>
            </w:rPr>
          </w:pPr>
        </w:p>
        <w:p w14:paraId="7CE6E952" w14:textId="77777777" w:rsidR="003C6F19" w:rsidRPr="003D0497" w:rsidRDefault="003C6F19" w:rsidP="003D0497">
          <w:pPr>
            <w:spacing w:after="0" w:line="240" w:lineRule="auto"/>
            <w:rPr>
              <w:rFonts w:ascii="Trebuchet MS" w:eastAsia="Times New Roman" w:hAnsi="Trebuchet MS" w:cstheme="minorHAnsi"/>
              <w:color w:val="808080" w:themeColor="background1" w:themeShade="80"/>
              <w:sz w:val="12"/>
              <w:szCs w:val="12"/>
              <w:lang w:eastAsia="es-ES"/>
            </w:rPr>
          </w:pPr>
          <w:hyperlink r:id="rId2" w:history="1">
            <w:r w:rsidRPr="003D0497">
              <w:rPr>
                <w:rFonts w:ascii="Trebuchet MS" w:eastAsia="Times New Roman" w:hAnsi="Trebuchet MS" w:cstheme="minorHAnsi"/>
                <w:color w:val="808080" w:themeColor="background1" w:themeShade="80"/>
                <w:spacing w:val="1"/>
                <w:kern w:val="16"/>
                <w:sz w:val="12"/>
                <w:szCs w:val="12"/>
                <w:lang w:eastAsia="es-ES"/>
              </w:rPr>
              <w:t>922 236 048</w:t>
            </w:r>
          </w:hyperlink>
          <w:r w:rsidRPr="003D0497">
            <w:rPr>
              <w:rFonts w:ascii="Trebuchet MS" w:eastAsiaTheme="minorHAnsi" w:hAnsi="Trebuchet MS" w:cstheme="minorBidi"/>
              <w:color w:val="808080" w:themeColor="background1" w:themeShade="80"/>
              <w:sz w:val="12"/>
              <w:szCs w:val="12"/>
            </w:rPr>
            <w:t xml:space="preserve"> </w:t>
          </w:r>
          <w:r w:rsidRPr="003D0497">
            <w:rPr>
              <w:rFonts w:ascii="Trebuchet MS" w:eastAsiaTheme="minorHAnsi" w:hAnsi="Trebuchet MS" w:cstheme="minorBidi"/>
              <w:color w:val="808080" w:themeColor="background1" w:themeShade="80"/>
              <w:sz w:val="12"/>
              <w:szCs w:val="12"/>
              <w:lang w:eastAsia="es-ES"/>
            </w:rPr>
            <w:t xml:space="preserve">· 928 385 078 </w:t>
          </w:r>
          <w:r w:rsidRPr="003D0497">
            <w:rPr>
              <w:rFonts w:ascii="Trebuchet MS" w:eastAsia="Times New Roman" w:hAnsi="Trebuchet MS" w:cstheme="minorHAnsi"/>
              <w:color w:val="808080" w:themeColor="background1" w:themeShade="80"/>
              <w:sz w:val="12"/>
              <w:szCs w:val="12"/>
              <w:lang w:eastAsia="es-ES"/>
            </w:rPr>
            <w:t xml:space="preserve">| </w:t>
          </w:r>
          <w:hyperlink r:id="rId3" w:history="1">
            <w:r w:rsidRPr="003D0497">
              <w:rPr>
                <w:rStyle w:val="Hipervnculo"/>
                <w:rFonts w:ascii="Trebuchet MS" w:eastAsia="Times New Roman" w:hAnsi="Trebuchet MS" w:cstheme="minorHAnsi"/>
                <w:color w:val="808080" w:themeColor="background1" w:themeShade="80"/>
                <w:sz w:val="12"/>
                <w:szCs w:val="12"/>
                <w:u w:val="none"/>
                <w:lang w:eastAsia="es-ES"/>
              </w:rPr>
              <w:t>info@gmrcanarias.com</w:t>
            </w:r>
          </w:hyperlink>
          <w:r w:rsidRPr="003D0497">
            <w:rPr>
              <w:rFonts w:ascii="Trebuchet MS" w:eastAsiaTheme="minorHAnsi" w:hAnsi="Trebuchet MS" w:cstheme="minorBidi"/>
              <w:color w:val="808080" w:themeColor="background1" w:themeShade="80"/>
              <w:sz w:val="12"/>
              <w:szCs w:val="12"/>
            </w:rPr>
            <w:t xml:space="preserve"> </w:t>
          </w:r>
          <w:r w:rsidRPr="003D0497">
            <w:rPr>
              <w:rFonts w:ascii="Trebuchet MS" w:eastAsia="Times New Roman" w:hAnsi="Trebuchet MS" w:cstheme="minorHAnsi"/>
              <w:color w:val="808080" w:themeColor="background1" w:themeShade="80"/>
              <w:sz w:val="12"/>
              <w:szCs w:val="12"/>
              <w:lang w:eastAsia="es-ES"/>
            </w:rPr>
            <w:t xml:space="preserve">| </w:t>
          </w:r>
          <w:hyperlink r:id="rId4" w:history="1">
            <w:r w:rsidRPr="003D0497">
              <w:rPr>
                <w:rStyle w:val="Hipervnculo"/>
                <w:rFonts w:ascii="Trebuchet MS" w:eastAsia="Times New Roman" w:hAnsi="Trebuchet MS" w:cstheme="minorHAnsi"/>
                <w:color w:val="808080" w:themeColor="background1" w:themeShade="80"/>
                <w:sz w:val="12"/>
                <w:szCs w:val="12"/>
                <w:u w:val="none"/>
                <w:lang w:eastAsia="es-ES"/>
              </w:rPr>
              <w:t>www.gmrcanarias.com</w:t>
            </w:r>
          </w:hyperlink>
        </w:p>
        <w:p w14:paraId="4191E8EC" w14:textId="77777777" w:rsidR="00AC097E" w:rsidRPr="003D0497" w:rsidRDefault="00AC097E" w:rsidP="003D0497">
          <w:pPr>
            <w:spacing w:after="0" w:line="240" w:lineRule="auto"/>
            <w:rPr>
              <w:rFonts w:ascii="Trebuchet MS" w:eastAsia="Times New Roman" w:hAnsi="Trebuchet MS" w:cstheme="minorHAnsi"/>
              <w:color w:val="808080" w:themeColor="background1" w:themeShade="80"/>
              <w:spacing w:val="1"/>
              <w:kern w:val="16"/>
              <w:sz w:val="12"/>
              <w:szCs w:val="12"/>
              <w:lang w:eastAsia="es-ES"/>
            </w:rPr>
          </w:pPr>
          <w:r w:rsidRPr="003D0497">
            <w:rPr>
              <w:rFonts w:ascii="Trebuchet MS" w:eastAsia="Times New Roman" w:hAnsi="Trebuchet MS" w:cstheme="minorHAnsi"/>
              <w:color w:val="808080" w:themeColor="background1" w:themeShade="80"/>
              <w:spacing w:val="1"/>
              <w:kern w:val="16"/>
              <w:sz w:val="12"/>
              <w:szCs w:val="12"/>
              <w:lang w:eastAsia="es-ES"/>
            </w:rPr>
            <w:t>C/ Jesús Hernández Guzmán, 2. Planta C. Polígono Industrial El Mayorazgo - 38110 Santa Cruz de Tenerife (S/C de Tenerife)</w:t>
          </w:r>
        </w:p>
        <w:p w14:paraId="15A18293" w14:textId="77777777" w:rsidR="00AC097E" w:rsidRPr="003D0497" w:rsidRDefault="00AC097E" w:rsidP="003D0497">
          <w:pPr>
            <w:spacing w:after="0" w:line="240" w:lineRule="auto"/>
            <w:rPr>
              <w:rFonts w:ascii="Trebuchet MS" w:eastAsia="Times New Roman" w:hAnsi="Trebuchet MS" w:cstheme="minorHAnsi"/>
              <w:color w:val="808080" w:themeColor="background1" w:themeShade="80"/>
              <w:sz w:val="12"/>
              <w:szCs w:val="12"/>
              <w:lang w:eastAsia="es-ES"/>
            </w:rPr>
          </w:pPr>
          <w:r w:rsidRPr="003D0497">
            <w:rPr>
              <w:rFonts w:ascii="Trebuchet MS" w:eastAsia="Times New Roman" w:hAnsi="Trebuchet MS" w:cstheme="minorHAnsi"/>
              <w:color w:val="808080" w:themeColor="background1" w:themeShade="80"/>
              <w:sz w:val="12"/>
              <w:szCs w:val="12"/>
              <w:lang w:eastAsia="es-ES"/>
            </w:rPr>
            <w:t>C/ La Restinga, 1. Polígono Industrial Las Majoreras</w:t>
          </w:r>
          <w:r w:rsidRPr="003D0497">
            <w:rPr>
              <w:rFonts w:ascii="Trebuchet MS" w:eastAsia="Times New Roman" w:hAnsi="Trebuchet MS" w:cstheme="minorHAnsi"/>
              <w:color w:val="808080" w:themeColor="background1" w:themeShade="80"/>
              <w:spacing w:val="1"/>
              <w:kern w:val="16"/>
              <w:sz w:val="12"/>
              <w:szCs w:val="12"/>
              <w:lang w:eastAsia="es-ES"/>
            </w:rPr>
            <w:t xml:space="preserve"> - </w:t>
          </w:r>
          <w:r w:rsidRPr="003D0497">
            <w:rPr>
              <w:rFonts w:ascii="Trebuchet MS" w:eastAsia="Times New Roman" w:hAnsi="Trebuchet MS" w:cstheme="minorHAnsi"/>
              <w:color w:val="808080" w:themeColor="background1" w:themeShade="80"/>
              <w:sz w:val="12"/>
              <w:szCs w:val="12"/>
              <w:lang w:eastAsia="es-ES"/>
            </w:rPr>
            <w:t>35259 Ingenio (Las Palmas)</w:t>
          </w:r>
        </w:p>
        <w:p w14:paraId="701AF6E6" w14:textId="77777777" w:rsidR="00AC097E" w:rsidRPr="000B19A9" w:rsidRDefault="00AC097E" w:rsidP="000B19A9">
          <w:pPr>
            <w:pStyle w:val="Piedepgina"/>
            <w:jc w:val="center"/>
            <w:rPr>
              <w:rFonts w:asciiTheme="minorHAnsi" w:eastAsiaTheme="minorHAnsi" w:hAnsiTheme="minorHAnsi" w:cstheme="minorBidi"/>
            </w:rPr>
          </w:pPr>
        </w:p>
      </w:tc>
    </w:tr>
  </w:tbl>
  <w:p w14:paraId="7C1519A7" w14:textId="77777777" w:rsidR="0043583C" w:rsidRPr="000F21FA" w:rsidRDefault="0043583C" w:rsidP="000F2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C712" w14:textId="77777777" w:rsidR="00046094" w:rsidRDefault="00046094" w:rsidP="0043583C">
      <w:pPr>
        <w:spacing w:after="0" w:line="240" w:lineRule="auto"/>
      </w:pPr>
      <w:r>
        <w:separator/>
      </w:r>
    </w:p>
  </w:footnote>
  <w:footnote w:type="continuationSeparator" w:id="0">
    <w:p w14:paraId="3919A16C" w14:textId="77777777" w:rsidR="00046094" w:rsidRDefault="00046094" w:rsidP="0043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445623" w:rsidRPr="000B19A9" w14:paraId="10E57ACC" w14:textId="77777777" w:rsidTr="000B19A9">
      <w:tc>
        <w:tcPr>
          <w:tcW w:w="3209" w:type="dxa"/>
        </w:tcPr>
        <w:p w14:paraId="047E7A9D" w14:textId="77777777" w:rsidR="00AC097E" w:rsidRPr="000B19A9" w:rsidRDefault="008A12AC" w:rsidP="000B19A9">
          <w:pPr>
            <w:pStyle w:val="Encabezado"/>
            <w:jc w:val="both"/>
            <w:rPr>
              <w:rFonts w:asciiTheme="minorHAnsi" w:eastAsiaTheme="minorHAnsi" w:hAnsiTheme="minorHAnsi" w:cstheme="minorBidi"/>
            </w:rPr>
          </w:pPr>
          <w:r>
            <w:rPr>
              <w:rFonts w:asciiTheme="minorHAnsi" w:eastAsiaTheme="minorHAnsi" w:hAnsiTheme="minorHAnsi" w:cstheme="minorBidi"/>
              <w:noProof/>
              <w:lang w:eastAsia="es-ES"/>
            </w:rPr>
            <w:drawing>
              <wp:inline distT="0" distB="0" distL="0" distR="0" wp14:anchorId="0B2FD80D" wp14:editId="4580235E">
                <wp:extent cx="1438910" cy="501015"/>
                <wp:effectExtent l="0" t="0" r="8890" b="0"/>
                <wp:docPr id="2" name="Imagen 2" descr="Icon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501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03328F36" w14:textId="77777777" w:rsidR="00AC097E" w:rsidRPr="000B19A9" w:rsidRDefault="00AC097E" w:rsidP="00AC097E">
          <w:pPr>
            <w:pStyle w:val="Encabezado"/>
            <w:rPr>
              <w:rFonts w:asciiTheme="minorHAnsi" w:eastAsiaTheme="minorHAnsi" w:hAnsiTheme="minorHAnsi" w:cstheme="minorBidi"/>
            </w:rPr>
          </w:pPr>
        </w:p>
      </w:tc>
      <w:tc>
        <w:tcPr>
          <w:tcW w:w="3210" w:type="dxa"/>
        </w:tcPr>
        <w:p w14:paraId="45ACCA9B" w14:textId="77777777" w:rsidR="00AC097E" w:rsidRPr="000B19A9" w:rsidRDefault="00445623" w:rsidP="00445623">
          <w:pPr>
            <w:pStyle w:val="Encabezado"/>
            <w:rPr>
              <w:rFonts w:asciiTheme="minorHAnsi" w:eastAsiaTheme="minorHAnsi" w:hAnsiTheme="minorHAnsi" w:cstheme="minorBidi"/>
            </w:rPr>
          </w:pPr>
          <w:r>
            <w:rPr>
              <w:rFonts w:asciiTheme="minorHAnsi" w:eastAsiaTheme="minorHAnsi" w:hAnsiTheme="minorHAnsi" w:cstheme="minorBidi"/>
            </w:rPr>
            <w:t xml:space="preserve">                            </w:t>
          </w:r>
          <w:r>
            <w:rPr>
              <w:noProof/>
            </w:rPr>
            <w:drawing>
              <wp:inline distT="0" distB="0" distL="0" distR="0" wp14:anchorId="35178694" wp14:editId="6292B959">
                <wp:extent cx="1000125" cy="553261"/>
                <wp:effectExtent l="0" t="0" r="0" b="0"/>
                <wp:docPr id="208336206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94" t="12903" r="14794" b="20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776" cy="560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EA4B076" w14:textId="77777777" w:rsidR="0043583C" w:rsidRPr="00AC097E" w:rsidRDefault="0043583C" w:rsidP="00AC09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6092"/>
    <w:multiLevelType w:val="multilevel"/>
    <w:tmpl w:val="2D7C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A1E31"/>
    <w:multiLevelType w:val="hybridMultilevel"/>
    <w:tmpl w:val="7E3680DE"/>
    <w:lvl w:ilvl="0" w:tplc="7DA822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2973">
    <w:abstractNumId w:val="1"/>
  </w:num>
  <w:num w:numId="2" w16cid:durableId="13659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17"/>
    <w:rsid w:val="00021BF4"/>
    <w:rsid w:val="00046094"/>
    <w:rsid w:val="0005054A"/>
    <w:rsid w:val="000B19A9"/>
    <w:rsid w:val="000F21FA"/>
    <w:rsid w:val="001417C5"/>
    <w:rsid w:val="00197C6E"/>
    <w:rsid w:val="00205B89"/>
    <w:rsid w:val="00206A4A"/>
    <w:rsid w:val="002422D3"/>
    <w:rsid w:val="00275117"/>
    <w:rsid w:val="002B6412"/>
    <w:rsid w:val="002C2838"/>
    <w:rsid w:val="0030132F"/>
    <w:rsid w:val="00364EB4"/>
    <w:rsid w:val="003811A9"/>
    <w:rsid w:val="003C6F19"/>
    <w:rsid w:val="003D0497"/>
    <w:rsid w:val="0043583C"/>
    <w:rsid w:val="00445623"/>
    <w:rsid w:val="004B24DE"/>
    <w:rsid w:val="004C74BD"/>
    <w:rsid w:val="0062658D"/>
    <w:rsid w:val="006D0554"/>
    <w:rsid w:val="007260B7"/>
    <w:rsid w:val="0076712F"/>
    <w:rsid w:val="00770D3B"/>
    <w:rsid w:val="0078408E"/>
    <w:rsid w:val="00793C07"/>
    <w:rsid w:val="007F6A62"/>
    <w:rsid w:val="00811A75"/>
    <w:rsid w:val="0084154F"/>
    <w:rsid w:val="00847F33"/>
    <w:rsid w:val="00872DDF"/>
    <w:rsid w:val="00876D7C"/>
    <w:rsid w:val="008A12AC"/>
    <w:rsid w:val="008D4874"/>
    <w:rsid w:val="00915E21"/>
    <w:rsid w:val="0096424E"/>
    <w:rsid w:val="00966479"/>
    <w:rsid w:val="009A6E7E"/>
    <w:rsid w:val="009D2D74"/>
    <w:rsid w:val="009D6F6E"/>
    <w:rsid w:val="00AB70C3"/>
    <w:rsid w:val="00AC097E"/>
    <w:rsid w:val="00AE40D1"/>
    <w:rsid w:val="00AF7923"/>
    <w:rsid w:val="00B2476F"/>
    <w:rsid w:val="00B306D6"/>
    <w:rsid w:val="00B66E75"/>
    <w:rsid w:val="00C478D0"/>
    <w:rsid w:val="00CD073C"/>
    <w:rsid w:val="00CD0E09"/>
    <w:rsid w:val="00D46828"/>
    <w:rsid w:val="00D84F81"/>
    <w:rsid w:val="00DA0C55"/>
    <w:rsid w:val="00DE1A03"/>
    <w:rsid w:val="00E56B83"/>
    <w:rsid w:val="00E86A2D"/>
    <w:rsid w:val="00F87718"/>
    <w:rsid w:val="00FB40FF"/>
    <w:rsid w:val="00FC330D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DDC3"/>
  <w15:docId w15:val="{2C565D06-6229-491C-B1BF-46C8F6B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83C"/>
  </w:style>
  <w:style w:type="paragraph" w:styleId="Piedepgina">
    <w:name w:val="footer"/>
    <w:basedOn w:val="Normal"/>
    <w:link w:val="PiedepginaCar"/>
    <w:uiPriority w:val="99"/>
    <w:unhideWhenUsed/>
    <w:rsid w:val="0043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83C"/>
  </w:style>
  <w:style w:type="paragraph" w:styleId="Textodeglobo">
    <w:name w:val="Balloon Text"/>
    <w:basedOn w:val="Normal"/>
    <w:link w:val="TextodegloboCar"/>
    <w:uiPriority w:val="99"/>
    <w:semiHidden/>
    <w:unhideWhenUsed/>
    <w:rsid w:val="0043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8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D2D74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0F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rcanarias.com" TargetMode="External"/><Relationship Id="rId2" Type="http://schemas.openxmlformats.org/officeDocument/2006/relationships/hyperlink" Target="te:+34922236048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gmrcanari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jimman\Downloads\Plantilla%20Escritos%20GMR%20Canarias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A63C-C874-422F-B82A-3C78BFEF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Escritos GMR Canarias (9).dotx</Template>
  <TotalTime>37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María Jiménez Mangado</dc:creator>
  <cp:lastModifiedBy>Rosario Rodríguez González</cp:lastModifiedBy>
  <cp:revision>4</cp:revision>
  <cp:lastPrinted>2023-06-01T09:55:00Z</cp:lastPrinted>
  <dcterms:created xsi:type="dcterms:W3CDTF">2026-06-09T08:14:00Z</dcterms:created>
  <dcterms:modified xsi:type="dcterms:W3CDTF">2026-06-09T10:39:00Z</dcterms:modified>
</cp:coreProperties>
</file>