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2AED" w14:textId="77777777" w:rsidR="001F0B7B" w:rsidRDefault="001F0B7B" w:rsidP="001F0B7B">
      <w:pPr>
        <w:shd w:val="clear" w:color="auto" w:fill="FFFFFF"/>
        <w:spacing w:before="300" w:after="300" w:line="450" w:lineRule="atLeast"/>
        <w:outlineLvl w:val="0"/>
        <w:rPr>
          <w:rFonts w:ascii="MontserratBold" w:eastAsia="Times New Roman" w:hAnsi="MontserratBold" w:cs="Times New Roman"/>
          <w:caps/>
          <w:color w:val="004C86"/>
          <w:kern w:val="36"/>
          <w:sz w:val="38"/>
          <w:szCs w:val="38"/>
          <w:lang w:eastAsia="es-ES"/>
        </w:rPr>
      </w:pPr>
      <w:r w:rsidRPr="001F0B7B">
        <w:rPr>
          <w:rFonts w:ascii="MontserratBold" w:eastAsia="Times New Roman" w:hAnsi="MontserratBold" w:cs="Times New Roman"/>
          <w:caps/>
          <w:color w:val="004C86"/>
          <w:kern w:val="36"/>
          <w:sz w:val="38"/>
          <w:szCs w:val="38"/>
          <w:lang w:eastAsia="es-ES"/>
        </w:rPr>
        <w:t>INFORMACIÓN INSTITUCIONAL</w:t>
      </w:r>
    </w:p>
    <w:p w14:paraId="60155B6E" w14:textId="3B644835" w:rsidR="001F0B7B" w:rsidRPr="001F0B7B" w:rsidRDefault="001F0B7B" w:rsidP="001F0B7B">
      <w:pPr>
        <w:shd w:val="clear" w:color="auto" w:fill="FFFFFF"/>
        <w:spacing w:before="300" w:after="300" w:line="450" w:lineRule="atLeast"/>
        <w:outlineLvl w:val="0"/>
        <w:rPr>
          <w:rFonts w:ascii="MontserratBold" w:eastAsia="Times New Roman" w:hAnsi="MontserratBold" w:cs="Times New Roman"/>
          <w:caps/>
          <w:color w:val="004C86"/>
          <w:kern w:val="36"/>
          <w:sz w:val="38"/>
          <w:szCs w:val="38"/>
          <w:lang w:eastAsia="es-ES"/>
        </w:rPr>
      </w:pPr>
      <w:r w:rsidRPr="001F0B7B">
        <w:rPr>
          <w:rFonts w:ascii="MontserratBold" w:eastAsia="Times New Roman" w:hAnsi="MontserratBold" w:cs="Times New Roman"/>
          <w:color w:val="004C86"/>
          <w:sz w:val="30"/>
          <w:szCs w:val="30"/>
          <w:lang w:eastAsia="es-ES"/>
        </w:rPr>
        <w:t>Información general institucional, histórica y económica</w:t>
      </w:r>
    </w:p>
    <w:p w14:paraId="5BC60D6D" w14:textId="77777777" w:rsidR="004C44FA" w:rsidRPr="004C44FA" w:rsidRDefault="004C44FA" w:rsidP="004C44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Información correspondiente al año 2025</w:t>
      </w:r>
    </w:p>
    <w:p w14:paraId="57FDE37E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Gestión del Medio Rural de Canarias, S.A.U. (en adelante, GMR Canarias) es una sociedad mercantil pública adscrita a la </w:t>
      </w:r>
      <w:hyperlink r:id="rId5" w:tgtFrame="_blank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Consejería de Agricultura, Ganadería, Pesca y Soberanía Alimentaria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Gobierno de Canarias.</w:t>
      </w:r>
    </w:p>
    <w:p w14:paraId="420D2AE5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Es un medio instrumental y servicio técnico propio de la Administración Pública de la Comunidad Autónoma de Canarias, tal y como se reconoce en el </w:t>
      </w:r>
      <w:hyperlink r:id="rId6" w:tgtFrame="_blank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Decreto 188/2001 del 15 de octubre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el que se determina su finalidad de servir como instrumento para la ejecución de la política agropecuaria y pesquera del Gobierno de Canarias.</w:t>
      </w:r>
    </w:p>
    <w:p w14:paraId="0E337008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Su misión es la mejora del sector primario en línea con las estrategias de dicha institución, y sus actividades fundamentales se desarrollan en dos vertientes:</w:t>
      </w:r>
    </w:p>
    <w:p w14:paraId="665D9867" w14:textId="77777777" w:rsidR="004C44FA" w:rsidRPr="004C44FA" w:rsidRDefault="004C44FA" w:rsidP="004C44F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Comercialización y promoción de productos canarios.</w:t>
      </w:r>
    </w:p>
    <w:p w14:paraId="2FAC9BC8" w14:textId="77777777" w:rsidR="004C44FA" w:rsidRPr="004C44FA" w:rsidRDefault="004C44FA" w:rsidP="004C44FA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Transferencia técnica al sector para profesionalizarlo y hacerlo más competitivo.</w:t>
      </w:r>
    </w:p>
    <w:p w14:paraId="0BE124DF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Información económica detallada </w:t>
      </w:r>
      <w:hyperlink r:id="rId7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odt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(docx)</w:t>
        </w:r>
      </w:hyperlink>
    </w:p>
    <w:p w14:paraId="575030FD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Durante el ejercicio 2025, la Sociedad se ha financiado principalmente a través de cinco fuentes:</w:t>
      </w:r>
    </w:p>
    <w:p w14:paraId="3A7439AB" w14:textId="77777777" w:rsidR="004C44FA" w:rsidRPr="004C44FA" w:rsidRDefault="004C44FA" w:rsidP="004C4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Facturación e ingresos derivados de la venta de productos.</w:t>
      </w:r>
    </w:p>
    <w:p w14:paraId="17D53435" w14:textId="77777777" w:rsidR="004C44FA" w:rsidRPr="004C44FA" w:rsidRDefault="004C44FA" w:rsidP="004C4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Facturación e ingresos por la prestación de servicios correspondientes a encargos como medio propio personificado.</w:t>
      </w:r>
    </w:p>
    <w:p w14:paraId="69409BFC" w14:textId="77777777" w:rsidR="004C44FA" w:rsidRPr="004C44FA" w:rsidRDefault="004C44FA" w:rsidP="004C4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Aportaciones dinerarias destinadas a actividades específicas, fundamentalmente para la promoción de productos del sector primario y el desarrollo de entornos rurales.</w:t>
      </w:r>
    </w:p>
    <w:p w14:paraId="6EACFE5E" w14:textId="77777777" w:rsidR="004C44FA" w:rsidRPr="004C44FA" w:rsidRDefault="004C44FA" w:rsidP="004C4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Aportación dineraria destinada a cubrir los gastos de funcionamiento estructural y de actividad de la Sociedad.</w:t>
      </w:r>
    </w:p>
    <w:p w14:paraId="7DA74498" w14:textId="77777777" w:rsidR="004C44FA" w:rsidRPr="004C44FA" w:rsidRDefault="004C44FA" w:rsidP="004C44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Aportación dineraria para la financiación de inversiones en inmovilizado y otros activos de la Sociedad.</w:t>
      </w:r>
    </w:p>
    <w:p w14:paraId="14FF8384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Actividad comercial</w:t>
      </w:r>
    </w:p>
    <w:p w14:paraId="29652204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La Sociedad obtiene financiación a través de la venta de productos del sector primario canario, así como de servicios accesorios vinculados a dicha actividad. Estas ventas se realizan a través de diferentes canales comerciales, entre los que se incluyen Grandes Superficies, Supermercados, HORECA, mayoristas y distribuidores.</w:t>
      </w:r>
    </w:p>
    <w:p w14:paraId="27D6BCBC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Asimismo, la Sociedad mantiene presencia comercial mediante la venta online y a través del establecimiento ubicado en Madrid.</w:t>
      </w:r>
    </w:p>
    <w:p w14:paraId="7413447F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Durante el ejercicio 2025, las ventas ascendieron a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11.662.601,89 euros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. Este importe contribuye a financiar la compra de productos, su transformación y distribución, así como parte de los gastos asociados a la red de establecimientos y al personal comercial.</w:t>
      </w:r>
    </w:p>
    <w:p w14:paraId="2237B1ED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Encargos como medio propio personificado</w:t>
      </w:r>
    </w:p>
    <w:p w14:paraId="4DB19941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lo largo de 2025, la Sociedad recibió encargos de diversas consejerías del Gobierno de Canarias y de sus organismos autónomos por un importe total de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8.012.254,32 euros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31512962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Estos ingresos financian los costes directos asociados a dichos proyectos, fundamentalmente costes de personal, así como una parte de los costes estructurales de la Sociedad.</w:t>
      </w:r>
    </w:p>
    <w:p w14:paraId="11AD551E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Actividades con financiación específica</w:t>
      </w:r>
    </w:p>
    <w:p w14:paraId="41A7226F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Durante el ejercicio 2025, la Sociedad recibió diversas aportaciones dinerarias por importe total de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4.493.813,14 euros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, destinadas a la ejecución de proyectos relacionados con la promoción de productos del sector primario canario y con actividades orientadas al desarrollo del entorno rural en Canarias.</w:t>
      </w:r>
    </w:p>
    <w:p w14:paraId="43E0E18D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Inversión en inmovilizado</w:t>
      </w:r>
    </w:p>
    <w:p w14:paraId="2539C746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Sociedad recibió una aportación dineraria por importe de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290.000,00 euros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destinada a financiar inversiones en inmovilizado realizadas durante el ejercicio 2025.</w:t>
      </w:r>
    </w:p>
    <w:p w14:paraId="349E953B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Estructura financiera</w:t>
      </w:r>
    </w:p>
    <w:p w14:paraId="42CFD93E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Sociedad cuenta con un capital social de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3.377.579,01 euros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que financia la totalidad del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Activo No Corriente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cuyo importe asciende a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1.125.193,72 euros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la totalidad de las existencias comerciales y los saldos de clientes comerciales integrados en el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Activo Corriente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3ACDED13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resto del </w:t>
      </w: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Activo Corriente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encuentra financiado mediante saldos de proveedores y acreedores, dentro de los plazos habituales del periodo medio de maduración económico. Asimismo, la Sociedad mantiene saldos de tesorería adecuados para atender sus obligaciones de pago a corto plazo y cumplir con los vencimientos acordados y con los establecidos por la normativa aplicable.</w:t>
      </w:r>
    </w:p>
    <w:p w14:paraId="090CCBAC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 de lo anterior la información económica de GMR Canarias se detalla en el apartado IV – Sistema económico contable, artículos 31, 32 y 34 de los Estatutos Sociales vigentes.</w:t>
      </w:r>
    </w:p>
    <w:p w14:paraId="4AEE29D3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Artículo 31º Duración del ejercicio social. 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- El ejercicio económico de la sociedad coincidirá con el año natural y terminará el día treinta y uno de diciembre.</w:t>
      </w:r>
    </w:p>
    <w:p w14:paraId="2DC7612A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32º Cuentas anuales. -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cuentas anuales comprenderán el balance, la cuenta de pérdidas y ganancias y la memoria. El Órgano de Administración de la sociedad está obligado a formular en el plazo máximo de tres meses, contados a partir del cierre del ejercicio social, las cuentas anuales, el informe de gestión y la propuesta de aplicación del resultado, así como en su caso, las cuentas y el informe de gestión 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consolidados. El esquema del balance, la estructura de la cuenta de pérdidas y ganancias, las reglas de valoración, el contenido de la memoria y del informe de gestión, la verificación de las cuentas anuales, y la aprobación de las cuentas y su publicación, se ajustarán a lo dispuesto en el Capítulo VII de la Ley Especial.</w:t>
      </w:r>
    </w:p>
    <w:p w14:paraId="54E7561B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Artículo 34º Distribución de dividendos. -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vez cubiertas las atenciones previstas por la Ley o los Estatutos, sólo podrán repartirse dividendos con cargo al beneficio del ejercicio, o a reservas de libre disposición, siempre que el valor del patrimonio neto contable no sea o, a consecuencia del reparto, no resulte inferior al capital social. La distribución de dividendos a los accionistas ordinarios se realizará en proporción al capital que han desembolsado.</w:t>
      </w:r>
    </w:p>
    <w:p w14:paraId="49DF3F72" w14:textId="77777777" w:rsidR="004C44FA" w:rsidRPr="004C44FA" w:rsidRDefault="004C44FA" w:rsidP="004C44F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Principales líneas de actuación de GMR Canarias</w:t>
      </w:r>
    </w:p>
    <w:p w14:paraId="1491D900" w14:textId="77777777" w:rsidR="004C44FA" w:rsidRPr="004C44FA" w:rsidRDefault="004C44FA" w:rsidP="004C44F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Comercializar los productos agrarios originarios de Canarias a nivel regional, nacional e internacional.</w:t>
      </w:r>
    </w:p>
    <w:p w14:paraId="3A3E8DA5" w14:textId="77777777" w:rsidR="004C44FA" w:rsidRPr="004C44FA" w:rsidRDefault="004C44FA" w:rsidP="004C44F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Promocionar los productos canarios tanto dentro como fuera del ámbito regional.</w:t>
      </w:r>
    </w:p>
    <w:p w14:paraId="0CCCD912" w14:textId="77777777" w:rsidR="004C44FA" w:rsidRPr="004C44FA" w:rsidRDefault="004C44FA" w:rsidP="004C44F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Apoyo a la exportación de productos agrarios originarios de Canarias.</w:t>
      </w:r>
    </w:p>
    <w:p w14:paraId="29B0511F" w14:textId="77777777" w:rsidR="004C44FA" w:rsidRPr="004C44FA" w:rsidRDefault="004C44FA" w:rsidP="004C44F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Fomentar el asociacionismo en el Sector.</w:t>
      </w:r>
    </w:p>
    <w:p w14:paraId="6C24D3F9" w14:textId="77777777" w:rsidR="004C44FA" w:rsidRPr="004C44FA" w:rsidRDefault="004C44FA" w:rsidP="004C44FA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Prestación de trabajos, servicios y asistencias técnicas especializadas para la mejora del sector primario.</w:t>
      </w:r>
    </w:p>
    <w:p w14:paraId="5BE4DCC2" w14:textId="77777777" w:rsidR="004C44FA" w:rsidRPr="004C44FA" w:rsidRDefault="004C44FA" w:rsidP="004C44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Estatutos sociales vigentes 2025</w:t>
      </w:r>
    </w:p>
    <w:p w14:paraId="75F5EE7E" w14:textId="77777777" w:rsidR="004C44FA" w:rsidRPr="004C44FA" w:rsidRDefault="004C44FA" w:rsidP="004C44F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Estatutos sociales aprobados en 2024 </w:t>
      </w:r>
      <w:hyperlink r:id="rId9" w:tgtFrame="_blank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odt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0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(docx)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1" w:tgtFrame="_blank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pdf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</w:p>
    <w:p w14:paraId="76CB46D0" w14:textId="77777777" w:rsidR="004C44FA" w:rsidRPr="004C44FA" w:rsidRDefault="004C44FA" w:rsidP="004C44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F68A141" w14:textId="77777777" w:rsidR="004C44FA" w:rsidRPr="004C44FA" w:rsidRDefault="004C44FA" w:rsidP="004C44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Sedes GMR Canarias</w:t>
      </w:r>
    </w:p>
    <w:p w14:paraId="1BFF3905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TENERIFE</w:t>
      </w:r>
    </w:p>
    <w:p w14:paraId="293B38C7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C/ Jesús Hernández Guzmán, 2. Planta C. Polígono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Ind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. El Mayorazgo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38110 Santa Cruz de Tenerife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922 236 048</w:t>
      </w:r>
    </w:p>
    <w:p w14:paraId="5FFDFA77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</w:pP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Mercatenerife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. Complejo E.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Polígono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Ind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Mayorazgo. </w:t>
      </w:r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Sector 2.</w:t>
      </w:r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br/>
        <w:t>38110 Santa Cruz de Tenerife</w:t>
      </w:r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br/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Teléfono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: 922 210 411</w:t>
      </w:r>
    </w:p>
    <w:p w14:paraId="2D7E8EB5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</w:pP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Mercatenerife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. Nave 1.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Módulo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 164</w:t>
      </w:r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br/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Polígono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Ind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. El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Mayorazgo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. Sector 2.</w:t>
      </w:r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br/>
        <w:t>38110 Santa Cruz de Tenerife</w:t>
      </w:r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br/>
        <w:t xml:space="preserve">C/ Alcalde José Emilio García Gómez, 5. Edif.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Barlovento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.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>Oficina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t xml:space="preserve"> 6-7</w:t>
      </w:r>
      <w:r w:rsidRPr="004C44FA">
        <w:rPr>
          <w:rFonts w:ascii="Times New Roman" w:eastAsia="Times New Roman" w:hAnsi="Times New Roman" w:cs="Times New Roman"/>
          <w:sz w:val="24"/>
          <w:szCs w:val="24"/>
          <w:lang w:val="it-IT" w:eastAsia="es-ES"/>
        </w:rPr>
        <w:br/>
        <w:t>38003 Santa Cruz de Tenerife</w:t>
      </w:r>
    </w:p>
    <w:p w14:paraId="6B3589AC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PALMA</w:t>
      </w:r>
    </w:p>
    <w:p w14:paraId="7FEF761B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C/ Blas Pérez González, 22. Trasera Edif. Aduares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38710 Breña Alta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922 696 149</w:t>
      </w:r>
    </w:p>
    <w:p w14:paraId="2092D5EF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GOMERA</w:t>
      </w:r>
    </w:p>
    <w:p w14:paraId="3C25E97F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C/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Langrero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, 16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38801 San Sebastián de La Gomera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922 141 540</w:t>
      </w:r>
    </w:p>
    <w:p w14:paraId="157B8568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HIERRO</w:t>
      </w:r>
    </w:p>
    <w:p w14:paraId="3EB99935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Explanada del Muelle, s/n. Edif. Reserva Marina de La Restinga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38801 La Restinga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922 557 188</w:t>
      </w:r>
    </w:p>
    <w:p w14:paraId="71376975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Carretera del Matorral, s/n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Agencia de Extensión Agraria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38911 Frontera</w:t>
      </w:r>
    </w:p>
    <w:p w14:paraId="75D59A39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GRAN CANARIA</w:t>
      </w:r>
    </w:p>
    <w:p w14:paraId="1E8A6C21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C/ La Restinga, 1.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Polígono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Ind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. Las Majoreras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35259 Ingenio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928 385 078</w:t>
      </w:r>
    </w:p>
    <w:p w14:paraId="3F62E55C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Mercalaspalmas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Nave Multiusos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nº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15,17 y 18. Nave B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nº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9, 11,18 y 20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Crta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. Cuesta Ramón, s/n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35229 Las Palmas de Gran Canaria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928 715 801 / 928 710 780</w:t>
      </w:r>
    </w:p>
    <w:p w14:paraId="5005DD2D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Carretera de Mogán, 25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35470 La Aldea de San Nicolás</w:t>
      </w:r>
    </w:p>
    <w:p w14:paraId="0C02F0A0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LANZAROTE</w:t>
      </w:r>
    </w:p>
    <w:p w14:paraId="67D5E577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C/ Trasera Campoamor, 3 A.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35500 Arrecife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928 819 191</w:t>
      </w:r>
    </w:p>
    <w:p w14:paraId="13D1010A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FUERTEVENTURA</w:t>
      </w:r>
    </w:p>
    <w:p w14:paraId="5421AB4E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 xml:space="preserve">C/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Júcar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 xml:space="preserve">. Local 2B.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Trasera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 xml:space="preserve">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>Edif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val="pt-PT" w:eastAsia="es-ES"/>
        </w:rPr>
        <w:t xml:space="preserve">. </w:t>
      </w:r>
      <w:proofErr w:type="spellStart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Aruma</w:t>
      </w:r>
      <w:proofErr w:type="spellEnd"/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Canarias.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35600 Puerto del Rosario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Teléfono: 928 160 309</w:t>
      </w:r>
    </w:p>
    <w:p w14:paraId="2AB5C4E6" w14:textId="77777777" w:rsidR="004C44FA" w:rsidRPr="004C44FA" w:rsidRDefault="004C44FA" w:rsidP="004C4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MADRID</w:t>
      </w:r>
    </w:p>
    <w:p w14:paraId="1A4F852C" w14:textId="77777777" w:rsidR="004C44FA" w:rsidRPr="004C44FA" w:rsidRDefault="004C44FA" w:rsidP="004C44FA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Calle Hortaleza, 108. 3º Izquierda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28004 Madrid</w:t>
      </w:r>
    </w:p>
    <w:p w14:paraId="77B4A5C0" w14:textId="77777777" w:rsidR="004C44FA" w:rsidRPr="004C44FA" w:rsidRDefault="004C44FA" w:rsidP="004C44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Bienes y patrimonio año 2025</w:t>
      </w:r>
    </w:p>
    <w:p w14:paraId="68479C80" w14:textId="77777777" w:rsidR="004C44FA" w:rsidRPr="004C44FA" w:rsidRDefault="004C44FA" w:rsidP="004C4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anchor="oficinas" w:tgtFrame="_blank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Oficinas 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  </w:t>
      </w:r>
      <w:hyperlink r:id="rId13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(docx)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4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odt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pdf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</w:p>
    <w:p w14:paraId="1E4BCE1E" w14:textId="77777777" w:rsidR="004C44FA" w:rsidRPr="004C44FA" w:rsidRDefault="004C44FA" w:rsidP="004C4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Vehículos </w:t>
      </w:r>
      <w:hyperlink r:id="rId16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ods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7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(xlsx)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hyperlink r:id="rId18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pdf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</w:p>
    <w:p w14:paraId="5D2F12CA" w14:textId="77777777" w:rsidR="004C44FA" w:rsidRPr="004C44FA" w:rsidRDefault="004C44FA" w:rsidP="004C44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Inmuebles </w:t>
      </w:r>
      <w:hyperlink r:id="rId19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ods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0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(xlsx)</w:t>
        </w:r>
      </w:hyperlink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21" w:history="1"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(</w:t>
        </w:r>
        <w:proofErr w:type="spellStart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pdf</w:t>
        </w:r>
        <w:proofErr w:type="spellEnd"/>
        <w:r w:rsidRPr="004C44F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)</w:t>
        </w:r>
      </w:hyperlink>
    </w:p>
    <w:p w14:paraId="71F0AA91" w14:textId="77777777" w:rsidR="004C44FA" w:rsidRPr="004C44FA" w:rsidRDefault="004C44FA" w:rsidP="004C44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hyperlink r:id="rId22" w:history="1">
        <w:r w:rsidRPr="004C44F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ES"/>
          </w:rPr>
          <w:t>Historia</w:t>
        </w:r>
      </w:hyperlink>
    </w:p>
    <w:p w14:paraId="38CC7F0D" w14:textId="77777777" w:rsidR="004C44FA" w:rsidRPr="004C44FA" w:rsidRDefault="004C44FA" w:rsidP="004C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Formato: 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ODT/PDF/ HTML/ODS/XLSX/DOCX</w:t>
      </w:r>
    </w:p>
    <w:p w14:paraId="1832F1AA" w14:textId="77777777" w:rsidR="004C44FA" w:rsidRPr="004C44FA" w:rsidRDefault="004C44FA" w:rsidP="004C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Responsable: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> Gestión del Medio Rural de Canarias, S.A.U. (GMR Canarias).</w:t>
      </w:r>
    </w:p>
    <w:p w14:paraId="756DB55C" w14:textId="77777777" w:rsidR="004C44FA" w:rsidRPr="004C44FA" w:rsidRDefault="004C44FA" w:rsidP="004C4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C44F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Actualización:</w:t>
      </w:r>
      <w:r w:rsidRPr="004C44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 de junio de 2026.</w:t>
      </w:r>
    </w:p>
    <w:p w14:paraId="54180DED" w14:textId="77777777" w:rsidR="004C44FA" w:rsidRDefault="004C44FA" w:rsidP="004A7F04">
      <w:pPr>
        <w:rPr>
          <w:b/>
          <w:bCs/>
        </w:rPr>
      </w:pPr>
    </w:p>
    <w:sectPr w:rsidR="004C44FA" w:rsidSect="00D77A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urich BT">
    <w:altName w:val="Trebuchet MS"/>
    <w:charset w:val="00"/>
    <w:family w:val="swiss"/>
    <w:pitch w:val="variable"/>
    <w:sig w:usb0="800000AF" w:usb1="1000204A" w:usb2="00000000" w:usb3="00000000" w:csb0="00000011" w:csb1="00000000"/>
  </w:font>
  <w:font w:name="MontserratBold">
    <w:altName w:val="Montserra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F3A"/>
    <w:multiLevelType w:val="multilevel"/>
    <w:tmpl w:val="DD9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965FB"/>
    <w:multiLevelType w:val="multilevel"/>
    <w:tmpl w:val="591E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10CF7"/>
    <w:multiLevelType w:val="multilevel"/>
    <w:tmpl w:val="1D1A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A7A92"/>
    <w:multiLevelType w:val="multilevel"/>
    <w:tmpl w:val="1188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26975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1580A32"/>
    <w:multiLevelType w:val="multilevel"/>
    <w:tmpl w:val="B714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97B8D"/>
    <w:multiLevelType w:val="multilevel"/>
    <w:tmpl w:val="40F0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300C0"/>
    <w:multiLevelType w:val="multilevel"/>
    <w:tmpl w:val="C9D2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97D99"/>
    <w:multiLevelType w:val="multilevel"/>
    <w:tmpl w:val="48D2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C346D"/>
    <w:multiLevelType w:val="multilevel"/>
    <w:tmpl w:val="F356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5137B"/>
    <w:multiLevelType w:val="multilevel"/>
    <w:tmpl w:val="127E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23CDC"/>
    <w:multiLevelType w:val="multilevel"/>
    <w:tmpl w:val="0F9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E50063"/>
    <w:multiLevelType w:val="multilevel"/>
    <w:tmpl w:val="2EC8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22510F"/>
    <w:multiLevelType w:val="multilevel"/>
    <w:tmpl w:val="043A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93CB7"/>
    <w:multiLevelType w:val="multilevel"/>
    <w:tmpl w:val="FE24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D24B8"/>
    <w:multiLevelType w:val="multilevel"/>
    <w:tmpl w:val="AC70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73742C"/>
    <w:multiLevelType w:val="multilevel"/>
    <w:tmpl w:val="F52E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AA45D9"/>
    <w:multiLevelType w:val="multilevel"/>
    <w:tmpl w:val="C75E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1422C"/>
    <w:multiLevelType w:val="multilevel"/>
    <w:tmpl w:val="C9C6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905E89"/>
    <w:multiLevelType w:val="multilevel"/>
    <w:tmpl w:val="CDFE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A7F82"/>
    <w:multiLevelType w:val="multilevel"/>
    <w:tmpl w:val="CBB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B331E"/>
    <w:multiLevelType w:val="multilevel"/>
    <w:tmpl w:val="678C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946AF"/>
    <w:multiLevelType w:val="multilevel"/>
    <w:tmpl w:val="B97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90DB1"/>
    <w:multiLevelType w:val="multilevel"/>
    <w:tmpl w:val="06C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9DE"/>
    <w:multiLevelType w:val="multilevel"/>
    <w:tmpl w:val="1E8A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64485C"/>
    <w:multiLevelType w:val="multilevel"/>
    <w:tmpl w:val="4AB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B53E8"/>
    <w:multiLevelType w:val="multilevel"/>
    <w:tmpl w:val="6650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FA2B43"/>
    <w:multiLevelType w:val="multilevel"/>
    <w:tmpl w:val="C07C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008F4"/>
    <w:multiLevelType w:val="multilevel"/>
    <w:tmpl w:val="6F4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912287">
    <w:abstractNumId w:val="4"/>
  </w:num>
  <w:num w:numId="2" w16cid:durableId="1394498942">
    <w:abstractNumId w:val="27"/>
  </w:num>
  <w:num w:numId="3" w16cid:durableId="62795925">
    <w:abstractNumId w:val="15"/>
  </w:num>
  <w:num w:numId="4" w16cid:durableId="495654012">
    <w:abstractNumId w:val="19"/>
  </w:num>
  <w:num w:numId="5" w16cid:durableId="1811244258">
    <w:abstractNumId w:val="3"/>
  </w:num>
  <w:num w:numId="6" w16cid:durableId="46537805">
    <w:abstractNumId w:val="17"/>
  </w:num>
  <w:num w:numId="7" w16cid:durableId="58211218">
    <w:abstractNumId w:val="8"/>
  </w:num>
  <w:num w:numId="8" w16cid:durableId="1506628804">
    <w:abstractNumId w:val="5"/>
  </w:num>
  <w:num w:numId="9" w16cid:durableId="1523056782">
    <w:abstractNumId w:val="10"/>
  </w:num>
  <w:num w:numId="10" w16cid:durableId="1188057634">
    <w:abstractNumId w:val="18"/>
  </w:num>
  <w:num w:numId="11" w16cid:durableId="1659117344">
    <w:abstractNumId w:val="12"/>
  </w:num>
  <w:num w:numId="12" w16cid:durableId="1451246864">
    <w:abstractNumId w:val="20"/>
  </w:num>
  <w:num w:numId="13" w16cid:durableId="800807605">
    <w:abstractNumId w:val="16"/>
  </w:num>
  <w:num w:numId="14" w16cid:durableId="1247810155">
    <w:abstractNumId w:val="21"/>
  </w:num>
  <w:num w:numId="15" w16cid:durableId="1634823785">
    <w:abstractNumId w:val="14"/>
  </w:num>
  <w:num w:numId="16" w16cid:durableId="868689068">
    <w:abstractNumId w:val="6"/>
  </w:num>
  <w:num w:numId="17" w16cid:durableId="1974824496">
    <w:abstractNumId w:val="0"/>
  </w:num>
  <w:num w:numId="18" w16cid:durableId="2108386199">
    <w:abstractNumId w:val="24"/>
  </w:num>
  <w:num w:numId="19" w16cid:durableId="423496297">
    <w:abstractNumId w:val="9"/>
  </w:num>
  <w:num w:numId="20" w16cid:durableId="143013355">
    <w:abstractNumId w:val="2"/>
  </w:num>
  <w:num w:numId="21" w16cid:durableId="1565683185">
    <w:abstractNumId w:val="11"/>
  </w:num>
  <w:num w:numId="22" w16cid:durableId="1834644697">
    <w:abstractNumId w:val="28"/>
  </w:num>
  <w:num w:numId="23" w16cid:durableId="364332697">
    <w:abstractNumId w:val="25"/>
  </w:num>
  <w:num w:numId="24" w16cid:durableId="599607397">
    <w:abstractNumId w:val="22"/>
  </w:num>
  <w:num w:numId="25" w16cid:durableId="1533378346">
    <w:abstractNumId w:val="7"/>
  </w:num>
  <w:num w:numId="26" w16cid:durableId="246159570">
    <w:abstractNumId w:val="13"/>
  </w:num>
  <w:num w:numId="27" w16cid:durableId="1763332954">
    <w:abstractNumId w:val="26"/>
  </w:num>
  <w:num w:numId="28" w16cid:durableId="1951475270">
    <w:abstractNumId w:val="23"/>
  </w:num>
  <w:num w:numId="29" w16cid:durableId="176884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4BE"/>
    <w:rsid w:val="001814BE"/>
    <w:rsid w:val="001F0B7B"/>
    <w:rsid w:val="00206D32"/>
    <w:rsid w:val="002F03B3"/>
    <w:rsid w:val="004A7F04"/>
    <w:rsid w:val="004C44FA"/>
    <w:rsid w:val="0051551D"/>
    <w:rsid w:val="005D4BED"/>
    <w:rsid w:val="00762F55"/>
    <w:rsid w:val="009D1C47"/>
    <w:rsid w:val="00B25B97"/>
    <w:rsid w:val="00BE0D44"/>
    <w:rsid w:val="00C34633"/>
    <w:rsid w:val="00DE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775C"/>
  <w15:docId w15:val="{E6F287E6-38D7-4DA3-87C7-6B08E35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B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81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07F7"/>
    <w:pPr>
      <w:keepNext/>
      <w:keepLines/>
      <w:numPr>
        <w:ilvl w:val="1"/>
        <w:numId w:val="1"/>
      </w:numPr>
      <w:spacing w:before="200"/>
      <w:outlineLvl w:val="1"/>
    </w:pPr>
    <w:rPr>
      <w:rFonts w:ascii="Zurich BT" w:eastAsiaTheme="majorEastAsia" w:hAnsi="Zurich BT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B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DE07F7"/>
    <w:rPr>
      <w:rFonts w:ascii="Zurich BT" w:eastAsiaTheme="majorEastAsia" w:hAnsi="Zurich BT" w:cstheme="majorBidi"/>
      <w:b/>
      <w:bCs/>
      <w:sz w:val="22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81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4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Fuerte">
    <w:name w:val="Strong"/>
    <w:basedOn w:val="Fuentedeprrafopredeter"/>
    <w:uiPriority w:val="22"/>
    <w:qFormat/>
    <w:rsid w:val="001814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814B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1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1551D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B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62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537">
          <w:marLeft w:val="0"/>
          <w:marRight w:val="0"/>
          <w:marTop w:val="0"/>
          <w:marBottom w:val="25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mrcanarias.com/wp-content/uploads/2026/06/INFORMACION-BASICA-SOBRE-LA-FINANCIACION-DE-LA-ENTIDAD-2025.docx" TargetMode="External"/><Relationship Id="rId13" Type="http://schemas.openxmlformats.org/officeDocument/2006/relationships/hyperlink" Target="https://gmrcanarias.com/wp-content/uploads/2026/04/SEDES-DE-GMR-CANARIAS-2025-3.docx" TargetMode="External"/><Relationship Id="rId18" Type="http://schemas.openxmlformats.org/officeDocument/2006/relationships/hyperlink" Target="https://gmrcanarias.com/wp-content/uploads/2026/04/Vehiculos-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mrcanarias.com/wp-content/uploads/2026/04/Inmuebles-2025-1.pdf" TargetMode="External"/><Relationship Id="rId7" Type="http://schemas.openxmlformats.org/officeDocument/2006/relationships/hyperlink" Target="https://gmrcanarias.com/wp-content/uploads/2026/06/INFORMACION-BASICA-SOBRE-LA-FINANCIACION-DE-LA-ENTIDAD-2025.odt" TargetMode="External"/><Relationship Id="rId12" Type="http://schemas.openxmlformats.org/officeDocument/2006/relationships/hyperlink" Target="https://gmrcanarias.com/contacto/" TargetMode="External"/><Relationship Id="rId17" Type="http://schemas.openxmlformats.org/officeDocument/2006/relationships/hyperlink" Target="https://gmrcanarias.com/wp-content/uploads/2026/04/Vehiculos-2025.xlsx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Vehiculos-2025.ods" TargetMode="External"/><Relationship Id="rId20" Type="http://schemas.openxmlformats.org/officeDocument/2006/relationships/hyperlink" Target="https://gmrcanarias.com/wp-content/uploads/2026/04/Inmuebles-2025-1.xls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biernodecanarias.org/boc/2001/146/001.html" TargetMode="External"/><Relationship Id="rId11" Type="http://schemas.openxmlformats.org/officeDocument/2006/relationships/hyperlink" Target="https://gmrcanarias.com/wp-content/uploads/2024/11/Certificacion-del-Texto-Refundido-de-los-Estatutos-de-la-Sociedad-2024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gobiernodecanarias.org/agpsa/" TargetMode="External"/><Relationship Id="rId15" Type="http://schemas.openxmlformats.org/officeDocument/2006/relationships/hyperlink" Target="https://gmrcanarias.com/wp-content/uploads/2026/04/SEDES-DE-GMR-CANARIAS-2025-3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mrcanarias.com/wp-content/uploads/2024/11/Certificacion-del-Texto-Refundido-de-los-Estatutos-de-la-Sociedad-2024.docx" TargetMode="External"/><Relationship Id="rId19" Type="http://schemas.openxmlformats.org/officeDocument/2006/relationships/hyperlink" Target="https://gmrcanarias.com/wp-content/uploads/2026/04/Inmuebles-2025-1.o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4/11/Certificacion-del-Texto-Refundido-de-los-Estatutos-de-la-Sociedad-2024.odt" TargetMode="External"/><Relationship Id="rId14" Type="http://schemas.openxmlformats.org/officeDocument/2006/relationships/hyperlink" Target="https://gmrcanarias.com/wp-content/uploads/2026/04/SEDES-DE-GMR-CANARIAS-2025-3.odt" TargetMode="External"/><Relationship Id="rId22" Type="http://schemas.openxmlformats.org/officeDocument/2006/relationships/hyperlink" Target="https://gmrcanarias.com/empresa/histo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1472</Words>
  <Characters>8099</Characters>
  <Application>Microsoft Office Word</Application>
  <DocSecurity>0</DocSecurity>
  <Lines>67</Lines>
  <Paragraphs>19</Paragraphs>
  <ScaleCrop>false</ScaleCrop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rosariorg</dc:creator>
  <cp:lastModifiedBy>Rosario Rodríguez González</cp:lastModifiedBy>
  <cp:revision>6</cp:revision>
  <dcterms:created xsi:type="dcterms:W3CDTF">2023-10-10T09:54:00Z</dcterms:created>
  <dcterms:modified xsi:type="dcterms:W3CDTF">2026-06-10T13:17:00Z</dcterms:modified>
</cp:coreProperties>
</file>